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0C95C" w14:textId="34739DDA" w:rsidR="00B31B77" w:rsidRPr="00D37675" w:rsidRDefault="00B31B77" w:rsidP="00D37675">
      <w:pPr>
        <w:pStyle w:val="Heading1"/>
        <w:spacing w:before="40" w:after="40"/>
        <w:rPr>
          <w:rFonts w:ascii="Open Sans" w:hAnsi="Open Sans" w:cs="Open Sans"/>
          <w:color w:val="00A885"/>
          <w:sz w:val="26"/>
          <w:szCs w:val="26"/>
          <w:lang w:val="fr-FR"/>
        </w:rPr>
      </w:pPr>
      <w:r w:rsidRPr="00D37675">
        <w:rPr>
          <w:rFonts w:ascii="Open Sans" w:hAnsi="Open Sans" w:cs="Open Sans"/>
          <w:b/>
          <w:bCs/>
          <w:color w:val="00A885"/>
          <w:sz w:val="26"/>
          <w:szCs w:val="26"/>
          <w:lang w:val="fr"/>
        </w:rPr>
        <w:t>Document pour l’activité pédagogique</w:t>
      </w:r>
      <w:r w:rsidR="00564A2D" w:rsidRPr="00D37675">
        <w:rPr>
          <w:rFonts w:ascii="Open Sans" w:hAnsi="Open Sans" w:cs="Open Sans"/>
          <w:b/>
          <w:bCs/>
          <w:color w:val="00A885"/>
          <w:sz w:val="26"/>
          <w:szCs w:val="26"/>
          <w:lang w:val="fr"/>
        </w:rPr>
        <w:br/>
      </w:r>
      <w:r w:rsidRPr="00D37675">
        <w:rPr>
          <w:rFonts w:ascii="Open Sans" w:hAnsi="Open Sans" w:cs="Open Sans"/>
          <w:b/>
          <w:bCs/>
          <w:color w:val="00A885"/>
          <w:sz w:val="26"/>
          <w:szCs w:val="26"/>
          <w:lang w:val="fr"/>
        </w:rPr>
        <w:t>« Les standards et les cibles »</w:t>
      </w:r>
    </w:p>
    <w:p w14:paraId="35E9B466" w14:textId="44406F2D" w:rsidR="00B31B77" w:rsidRPr="00697E1F" w:rsidRDefault="00B31B77" w:rsidP="00D37675">
      <w:pPr>
        <w:spacing w:before="40" w:after="40"/>
        <w:rPr>
          <w:rFonts w:ascii="Open Sans" w:hAnsi="Open Sans" w:cs="Open Sans"/>
          <w:color w:val="00A885"/>
          <w:sz w:val="23"/>
          <w:szCs w:val="23"/>
          <w:lang w:val="fr-FR"/>
        </w:rPr>
      </w:pPr>
    </w:p>
    <w:p w14:paraId="3F93CF7E" w14:textId="42E479F2" w:rsidR="005917C3" w:rsidRPr="00D37675" w:rsidRDefault="005917C3" w:rsidP="00D37675">
      <w:pPr>
        <w:pStyle w:val="Heading2"/>
        <w:spacing w:after="40"/>
        <w:rPr>
          <w:rFonts w:ascii="Open Sans" w:hAnsi="Open Sans" w:cs="Open Sans"/>
          <w:color w:val="00A885"/>
          <w:sz w:val="22"/>
          <w:szCs w:val="22"/>
          <w:lang w:val="fr-FR"/>
        </w:rPr>
      </w:pPr>
      <w:r w:rsidRPr="00D37675">
        <w:rPr>
          <w:rFonts w:ascii="Open Sans" w:hAnsi="Open Sans" w:cs="Open Sans"/>
          <w:b/>
          <w:bCs/>
          <w:color w:val="00A885"/>
          <w:sz w:val="22"/>
          <w:szCs w:val="22"/>
          <w:lang w:val="fr"/>
        </w:rPr>
        <w:t>Contexte</w:t>
      </w:r>
    </w:p>
    <w:p w14:paraId="76E951A0" w14:textId="4C205CFD" w:rsidR="00E46B8A" w:rsidRPr="00D37675" w:rsidRDefault="00972D4F" w:rsidP="00D37675">
      <w:pPr>
        <w:spacing w:before="40" w:after="40"/>
        <w:rPr>
          <w:rFonts w:ascii="Open Sans" w:hAnsi="Open Sans" w:cs="Open Sans"/>
          <w:color w:val="00A885"/>
          <w:lang w:val="fr-FR"/>
        </w:rPr>
      </w:pPr>
      <w:r w:rsidRPr="00D37675">
        <w:rPr>
          <w:rFonts w:ascii="Open Sans" w:hAnsi="Open Sans" w:cs="Open Sans"/>
          <w:color w:val="000000"/>
          <w:lang w:val="fr"/>
        </w:rPr>
        <w:t xml:space="preserve">Sphère et les autres membres du </w:t>
      </w:r>
      <w:hyperlink r:id="rId10" w:history="1">
        <w:r w:rsidRPr="00D37675">
          <w:rPr>
            <w:rStyle w:val="Hyperlink"/>
            <w:rFonts w:ascii="Open Sans" w:hAnsi="Open Sans" w:cs="Open Sans"/>
            <w:lang w:val="fr"/>
          </w:rPr>
          <w:t>Partenariat pour les standards humanitaires</w:t>
        </w:r>
      </w:hyperlink>
      <w:r w:rsidRPr="00D37675">
        <w:rPr>
          <w:rStyle w:val="FootnoteReference"/>
          <w:rFonts w:ascii="Open Sans" w:hAnsi="Open Sans" w:cs="Open Sans"/>
          <w:color w:val="000000"/>
          <w:lang w:val="fr"/>
        </w:rPr>
        <w:footnoteReference w:id="1"/>
      </w:r>
      <w:r w:rsidRPr="00D37675">
        <w:rPr>
          <w:rFonts w:ascii="Open Sans" w:hAnsi="Open Sans" w:cs="Open Sans"/>
          <w:color w:val="000000"/>
          <w:lang w:val="fr"/>
        </w:rPr>
        <w:t xml:space="preserve"> (HSP) utilisent les définitions suivantes des standards et des indicateurs (tiré de </w:t>
      </w:r>
      <w:hyperlink r:id="rId11" w:anchor="ch001" w:history="1">
        <w:r w:rsidRPr="00D37675">
          <w:rPr>
            <w:rStyle w:val="Hyperlink"/>
            <w:rFonts w:ascii="Open Sans" w:hAnsi="Open Sans" w:cs="Open Sans"/>
            <w:lang w:val="fr"/>
          </w:rPr>
          <w:t>La structure des standards</w:t>
        </w:r>
      </w:hyperlink>
      <w:r w:rsidRPr="00D37675">
        <w:rPr>
          <w:rStyle w:val="FootnoteReference"/>
          <w:rFonts w:ascii="Open Sans" w:hAnsi="Open Sans" w:cs="Open Sans"/>
          <w:color w:val="000000"/>
          <w:lang w:val="fr"/>
        </w:rPr>
        <w:footnoteReference w:id="2"/>
      </w:r>
      <w:r w:rsidRPr="00D37675">
        <w:rPr>
          <w:rFonts w:ascii="Open Sans" w:hAnsi="Open Sans" w:cs="Open Sans"/>
          <w:color w:val="000000"/>
          <w:lang w:val="fr"/>
        </w:rPr>
        <w:t xml:space="preserve"> page </w:t>
      </w:r>
      <w:r w:rsidR="00911B13">
        <w:rPr>
          <w:rFonts w:ascii="Open Sans" w:hAnsi="Open Sans" w:cs="Open Sans"/>
          <w:color w:val="000000"/>
          <w:lang w:val="fr"/>
        </w:rPr>
        <w:t>7</w:t>
      </w:r>
      <w:r w:rsidRPr="00D37675">
        <w:rPr>
          <w:rFonts w:ascii="Open Sans" w:hAnsi="Open Sans" w:cs="Open Sans"/>
          <w:color w:val="000000"/>
          <w:lang w:val="fr"/>
        </w:rPr>
        <w:t xml:space="preserve"> du manuel Sphère).</w:t>
      </w:r>
    </w:p>
    <w:p w14:paraId="74CA373C" w14:textId="20137397" w:rsidR="00BB026D" w:rsidRPr="00D37675" w:rsidRDefault="00BB026D" w:rsidP="00D37675">
      <w:pPr>
        <w:pStyle w:val="ListParagraph"/>
        <w:numPr>
          <w:ilvl w:val="0"/>
          <w:numId w:val="26"/>
        </w:numPr>
        <w:spacing w:before="40" w:after="40"/>
        <w:contextualSpacing w:val="0"/>
        <w:rPr>
          <w:rFonts w:ascii="Open Sans" w:hAnsi="Open Sans" w:cs="Open Sans"/>
          <w:lang w:val="fr-FR"/>
        </w:rPr>
      </w:pPr>
      <w:r w:rsidRPr="00D37675">
        <w:rPr>
          <w:rFonts w:ascii="Open Sans" w:hAnsi="Open Sans" w:cs="Open Sans"/>
          <w:b/>
          <w:bCs/>
          <w:lang w:val="fr"/>
        </w:rPr>
        <w:t>Les standards</w:t>
      </w:r>
      <w:r w:rsidRPr="00D37675">
        <w:rPr>
          <w:rFonts w:ascii="Open Sans" w:hAnsi="Open Sans" w:cs="Open Sans"/>
          <w:lang w:val="fr"/>
        </w:rPr>
        <w:t xml:space="preserve"> découlent du principe du droit de vivre dans la dignité. Ils sont généraux et qualitatifs et définissent le minimum à atteindre dans toute situation de crise. </w:t>
      </w:r>
      <w:r w:rsidR="007F1FF4" w:rsidRPr="00D37675">
        <w:rPr>
          <w:rFonts w:ascii="Open Sans" w:hAnsi="Open Sans" w:cs="Open Sans"/>
          <w:lang w:val="fr"/>
        </w:rPr>
        <w:t xml:space="preserve">La Norme humanitaire fondamentale (CHS) a pour </w:t>
      </w:r>
      <w:r w:rsidRPr="00D37675">
        <w:rPr>
          <w:rFonts w:ascii="Open Sans" w:hAnsi="Open Sans" w:cs="Open Sans"/>
          <w:lang w:val="fr"/>
        </w:rPr>
        <w:t>équivalents les « engagements » et les « critères de qualité ».</w:t>
      </w:r>
    </w:p>
    <w:p w14:paraId="5E8ABC4F" w14:textId="6999407A" w:rsidR="0043669C" w:rsidRPr="00D37675" w:rsidRDefault="00094D59" w:rsidP="00D37675">
      <w:pPr>
        <w:pStyle w:val="NormalWeb"/>
        <w:numPr>
          <w:ilvl w:val="0"/>
          <w:numId w:val="26"/>
        </w:numPr>
        <w:spacing w:before="40" w:beforeAutospacing="0" w:after="40" w:afterAutospacing="0"/>
        <w:rPr>
          <w:rFonts w:ascii="Open Sans" w:hAnsi="Open Sans" w:cs="Open Sans"/>
          <w:color w:val="000000"/>
          <w:sz w:val="22"/>
          <w:szCs w:val="22"/>
          <w:lang w:val="fr-FR"/>
        </w:rPr>
      </w:pP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 xml:space="preserve">Les indicateurs clés 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servent de mesure pour montrer qu’un standard a été atteint. Ils </w:t>
      </w:r>
      <w:r w:rsidR="007F1FF4" w:rsidRPr="00D37675">
        <w:rPr>
          <w:rFonts w:ascii="Open Sans" w:hAnsi="Open Sans" w:cs="Open Sans"/>
          <w:color w:val="000000"/>
          <w:sz w:val="22"/>
          <w:szCs w:val="22"/>
          <w:lang w:val="fr"/>
        </w:rPr>
        <w:t>constituent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une manière de visualiser les résultats des processus et programmes par rapport au standard</w:t>
      </w:r>
      <w:r w:rsidR="007F1FF4" w:rsidRPr="00D37675">
        <w:rPr>
          <w:rFonts w:ascii="Open Sans" w:hAnsi="Open Sans" w:cs="Open Sans"/>
          <w:color w:val="000000"/>
          <w:sz w:val="22"/>
          <w:szCs w:val="22"/>
          <w:lang w:val="fr"/>
        </w:rPr>
        <w:t>,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et sur toute la durée de l’intervention. </w:t>
      </w:r>
      <w:r w:rsidRPr="00D37675">
        <w:rPr>
          <w:rFonts w:ascii="Open Sans" w:hAnsi="Open Sans" w:cs="Open Sans"/>
          <w:color w:val="000000"/>
          <w:sz w:val="22"/>
          <w:szCs w:val="22"/>
          <w:u w:val="single"/>
          <w:lang w:val="fr"/>
        </w:rPr>
        <w:t>Les exigences quantitatives minimums sont le niveau de réalisation le plus bas acceptable pour les indicateurs et ne sont inclus</w:t>
      </w:r>
      <w:r w:rsidR="00697E1F" w:rsidRPr="00D37675">
        <w:rPr>
          <w:rFonts w:ascii="Open Sans" w:hAnsi="Open Sans" w:cs="Open Sans"/>
          <w:color w:val="000000"/>
          <w:sz w:val="22"/>
          <w:szCs w:val="22"/>
          <w:u w:val="single"/>
          <w:lang w:val="fr"/>
        </w:rPr>
        <w:t>es</w:t>
      </w:r>
      <w:r w:rsidRPr="00D37675">
        <w:rPr>
          <w:rFonts w:ascii="Open Sans" w:hAnsi="Open Sans" w:cs="Open Sans"/>
          <w:color w:val="000000"/>
          <w:sz w:val="22"/>
          <w:szCs w:val="22"/>
          <w:u w:val="single"/>
          <w:lang w:val="fr"/>
        </w:rPr>
        <w:t xml:space="preserve"> que lorsqu’</w:t>
      </w:r>
      <w:r w:rsidR="00697E1F" w:rsidRPr="00D37675">
        <w:rPr>
          <w:rFonts w:ascii="Open Sans" w:hAnsi="Open Sans" w:cs="Open Sans"/>
          <w:color w:val="000000"/>
          <w:sz w:val="22"/>
          <w:szCs w:val="22"/>
          <w:u w:val="single"/>
          <w:lang w:val="fr"/>
        </w:rPr>
        <w:t>elles</w:t>
      </w:r>
      <w:r w:rsidRPr="00D37675">
        <w:rPr>
          <w:rFonts w:ascii="Open Sans" w:hAnsi="Open Sans" w:cs="Open Sans"/>
          <w:color w:val="000000"/>
          <w:sz w:val="22"/>
          <w:szCs w:val="22"/>
          <w:u w:val="single"/>
          <w:lang w:val="fr"/>
        </w:rPr>
        <w:t xml:space="preserve"> font l’objet d’un consensus au sein du secteur.</w:t>
      </w:r>
    </w:p>
    <w:p w14:paraId="1BAFDB4B" w14:textId="0AFEFCDE" w:rsidR="00E46B8A" w:rsidRPr="00D37675" w:rsidRDefault="00274B0F" w:rsidP="00D37675">
      <w:pPr>
        <w:pStyle w:val="NormalWeb"/>
        <w:spacing w:before="40" w:beforeAutospacing="0" w:after="40" w:afterAutospacing="0"/>
        <w:rPr>
          <w:rFonts w:ascii="Open Sans" w:hAnsi="Open Sans" w:cs="Open Sans"/>
          <w:color w:val="000000"/>
          <w:sz w:val="22"/>
          <w:szCs w:val="22"/>
          <w:lang w:val="fr-FR"/>
        </w:rPr>
      </w:pP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Dans la phrase soulign</w:t>
      </w:r>
      <w:r w:rsidR="00697E1F" w:rsidRPr="00D37675">
        <w:rPr>
          <w:rFonts w:ascii="Open Sans" w:hAnsi="Open Sans" w:cs="Open Sans"/>
          <w:color w:val="000000"/>
          <w:sz w:val="22"/>
          <w:szCs w:val="22"/>
          <w:lang w:val="fr"/>
        </w:rPr>
        <w:t>ée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, les « exigences quantitatives minimums » décrivent les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cibles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</w:t>
      </w:r>
      <w:r w:rsidR="007F1FF4"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qui sont 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incluses avec certains des indicateurs.</w:t>
      </w:r>
    </w:p>
    <w:p w14:paraId="35CCFF25" w14:textId="77777777" w:rsidR="00D51623" w:rsidRPr="00697E1F" w:rsidRDefault="00D51623" w:rsidP="00D37675">
      <w:pPr>
        <w:pStyle w:val="NormalWeb"/>
        <w:spacing w:before="40" w:beforeAutospacing="0" w:after="40" w:afterAutospacing="0"/>
        <w:rPr>
          <w:rFonts w:ascii="Open Sans" w:hAnsi="Open Sans" w:cs="Open Sans"/>
          <w:sz w:val="23"/>
          <w:szCs w:val="23"/>
          <w:lang w:val="fr-FR"/>
        </w:rPr>
      </w:pPr>
    </w:p>
    <w:p w14:paraId="7A244579" w14:textId="673E044C" w:rsidR="00B31B77" w:rsidRPr="00697E1F" w:rsidRDefault="00E052AA" w:rsidP="00D37675">
      <w:pPr>
        <w:pStyle w:val="Heading2"/>
        <w:spacing w:after="40"/>
        <w:rPr>
          <w:rFonts w:ascii="Open Sans" w:hAnsi="Open Sans" w:cs="Open Sans"/>
          <w:b/>
          <w:bCs/>
          <w:color w:val="00A885"/>
          <w:sz w:val="23"/>
          <w:szCs w:val="23"/>
          <w:lang w:val="fr-FR"/>
        </w:rPr>
      </w:pPr>
      <w:r>
        <w:rPr>
          <w:rFonts w:ascii="Open Sans" w:hAnsi="Open Sans" w:cs="Open Sans"/>
          <w:b/>
          <w:bCs/>
          <w:color w:val="00A885"/>
          <w:sz w:val="23"/>
          <w:szCs w:val="23"/>
          <w:lang w:val="fr"/>
        </w:rPr>
        <w:t>Activité pédagogique</w:t>
      </w:r>
    </w:p>
    <w:p w14:paraId="4A2D9C95" w14:textId="333C579A" w:rsidR="007101EF" w:rsidRPr="00D37675" w:rsidRDefault="007101EF" w:rsidP="00D37675">
      <w:pPr>
        <w:spacing w:before="40" w:after="40"/>
        <w:rPr>
          <w:lang w:val="fr-FR"/>
        </w:rPr>
      </w:pPr>
      <w:r w:rsidRPr="00D37675">
        <w:rPr>
          <w:rFonts w:ascii="Open Sans" w:hAnsi="Open Sans" w:cs="Open Sans"/>
          <w:color w:val="000000"/>
          <w:lang w:val="fr"/>
        </w:rPr>
        <w:t xml:space="preserve">L’activité que vous venez de réaliser a été conçue pour </w:t>
      </w:r>
      <w:r w:rsidR="007F1FF4" w:rsidRPr="00D37675">
        <w:rPr>
          <w:rFonts w:ascii="Open Sans" w:hAnsi="Open Sans" w:cs="Open Sans"/>
          <w:color w:val="000000"/>
          <w:lang w:val="fr"/>
        </w:rPr>
        <w:t xml:space="preserve">vous </w:t>
      </w:r>
      <w:r w:rsidRPr="00D37675">
        <w:rPr>
          <w:rFonts w:ascii="Open Sans" w:hAnsi="Open Sans" w:cs="Open Sans"/>
          <w:color w:val="000000"/>
          <w:lang w:val="fr"/>
        </w:rPr>
        <w:t xml:space="preserve">permettre d’examiner par vous-même le lien et les différences entre </w:t>
      </w:r>
      <w:r w:rsidRPr="00D37675">
        <w:rPr>
          <w:rFonts w:ascii="Open Sans" w:hAnsi="Open Sans" w:cs="Open Sans"/>
          <w:b/>
          <w:bCs/>
          <w:color w:val="000000"/>
          <w:lang w:val="fr"/>
        </w:rPr>
        <w:t>standards</w:t>
      </w:r>
      <w:r w:rsidRPr="00D37675">
        <w:rPr>
          <w:rFonts w:ascii="Open Sans" w:hAnsi="Open Sans" w:cs="Open Sans"/>
          <w:color w:val="000000"/>
          <w:lang w:val="fr"/>
        </w:rPr>
        <w:t xml:space="preserve"> et </w:t>
      </w:r>
      <w:r w:rsidRPr="00D37675">
        <w:rPr>
          <w:rFonts w:ascii="Open Sans" w:hAnsi="Open Sans" w:cs="Open Sans"/>
          <w:b/>
          <w:bCs/>
          <w:color w:val="000000"/>
          <w:lang w:val="fr"/>
        </w:rPr>
        <w:t>cibles</w:t>
      </w:r>
      <w:r w:rsidRPr="00D37675">
        <w:rPr>
          <w:rFonts w:ascii="Open Sans" w:hAnsi="Open Sans" w:cs="Open Sans"/>
          <w:color w:val="000000"/>
          <w:lang w:val="fr"/>
        </w:rPr>
        <w:t>. Maintenant que l’activité est terminée, les définitions incluses dans le manuel et ci-dessus devraient être plus claires.</w:t>
      </w:r>
    </w:p>
    <w:p w14:paraId="49A6C64F" w14:textId="77777777" w:rsidR="007101EF" w:rsidRPr="00D37675" w:rsidRDefault="007101EF" w:rsidP="007101EF">
      <w:pPr>
        <w:rPr>
          <w:lang w:val="fr-FR"/>
        </w:rPr>
      </w:pPr>
    </w:p>
    <w:tbl>
      <w:tblPr>
        <w:tblW w:w="0" w:type="auto"/>
        <w:tblInd w:w="3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5"/>
      </w:tblGrid>
      <w:tr w:rsidR="00B31B77" w:rsidRPr="00D37675" w14:paraId="05064C0B" w14:textId="77777777" w:rsidTr="00D37675">
        <w:trPr>
          <w:trHeight w:val="1068"/>
        </w:trPr>
        <w:tc>
          <w:tcPr>
            <w:tcW w:w="8195" w:type="dxa"/>
            <w:tcBorders>
              <w:top w:val="single" w:sz="12" w:space="0" w:color="00A885"/>
              <w:bottom w:val="single" w:sz="12" w:space="0" w:color="00A885"/>
            </w:tcBorders>
            <w:shd w:val="clear" w:color="auto" w:fill="E7FFF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832A6" w14:textId="7106E638" w:rsidR="001B4956" w:rsidRPr="00D37675" w:rsidRDefault="00B31B77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fr-FR"/>
              </w:rPr>
            </w:pPr>
            <w:r w:rsidRPr="00D37675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fr"/>
              </w:rPr>
              <w:t>Le standard :</w:t>
            </w:r>
          </w:p>
          <w:p w14:paraId="599A06DE" w14:textId="688F45C2" w:rsidR="00B31B77" w:rsidRPr="00D37675" w:rsidRDefault="00B31B77" w:rsidP="005F0FEB">
            <w:pPr>
              <w:pStyle w:val="NormalWeb"/>
              <w:spacing w:before="80" w:beforeAutospacing="0" w:after="80" w:afterAutospacing="0"/>
              <w:ind w:left="255"/>
              <w:rPr>
                <w:rFonts w:ascii="Open Sans" w:hAnsi="Open Sans" w:cs="Open Sans"/>
                <w:sz w:val="22"/>
                <w:szCs w:val="22"/>
                <w:lang w:val="fr-FR"/>
              </w:rPr>
            </w:pPr>
            <w:r w:rsidRPr="00D37675">
              <w:rPr>
                <w:rFonts w:ascii="Open Sans" w:hAnsi="Open Sans" w:cs="Open Sans"/>
                <w:sz w:val="22"/>
                <w:szCs w:val="22"/>
                <w:lang w:val="fr"/>
              </w:rPr>
              <w:t xml:space="preserve">Les gens peuvent, en toute sécurité, regarder </w:t>
            </w:r>
            <w:r w:rsidR="00D37675" w:rsidRPr="00D37675">
              <w:rPr>
                <w:rFonts w:ascii="Open Sans" w:hAnsi="Open Sans" w:cs="Open Sans"/>
                <w:sz w:val="22"/>
                <w:szCs w:val="22"/>
                <w:lang w:val="fr"/>
              </w:rPr>
              <w:t>le</w:t>
            </w:r>
            <w:r w:rsidRPr="00D37675">
              <w:rPr>
                <w:rFonts w:ascii="Open Sans" w:hAnsi="Open Sans" w:cs="Open Sans"/>
                <w:sz w:val="22"/>
                <w:szCs w:val="22"/>
                <w:lang w:val="fr"/>
              </w:rPr>
              <w:t xml:space="preserve"> beau paysage.</w:t>
            </w:r>
          </w:p>
        </w:tc>
      </w:tr>
      <w:tr w:rsidR="000D6A5C" w:rsidRPr="00D37675" w14:paraId="3DE08910" w14:textId="77777777" w:rsidTr="00D37675">
        <w:trPr>
          <w:trHeight w:val="1293"/>
        </w:trPr>
        <w:tc>
          <w:tcPr>
            <w:tcW w:w="8195" w:type="dxa"/>
            <w:tcBorders>
              <w:top w:val="single" w:sz="12" w:space="0" w:color="00A88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5037" w14:textId="4A0B6870" w:rsidR="000D6A5C" w:rsidRPr="00D37675" w:rsidRDefault="00D37675" w:rsidP="005F0FEB">
            <w:pPr>
              <w:pStyle w:val="NormalWeb"/>
              <w:spacing w:before="160" w:beforeAutospacing="0" w:after="80" w:afterAutospacing="0"/>
              <w:ind w:left="255"/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fr-FR"/>
              </w:rPr>
            </w:pPr>
            <w:r w:rsidRPr="00D37675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fr"/>
              </w:rPr>
              <w:t>I</w:t>
            </w:r>
            <w:r w:rsidR="000D6A5C" w:rsidRPr="00D37675">
              <w:rPr>
                <w:rFonts w:ascii="Open Sans Semibold" w:hAnsi="Open Sans Semibold" w:cs="Open Sans Semibold"/>
                <w:color w:val="00A885"/>
                <w:sz w:val="22"/>
                <w:szCs w:val="22"/>
                <w:lang w:val="fr"/>
              </w:rPr>
              <w:t>ndicateurs clés</w:t>
            </w:r>
          </w:p>
          <w:p w14:paraId="66D44A22" w14:textId="77777777" w:rsidR="000D6A5C" w:rsidRPr="00D37675" w:rsidRDefault="000D6A5C" w:rsidP="00D37675">
            <w:pPr>
              <w:pStyle w:val="NormalWeb"/>
              <w:spacing w:before="80" w:beforeAutospacing="0" w:after="0" w:afterAutospacing="0"/>
              <w:ind w:left="259"/>
              <w:rPr>
                <w:rFonts w:ascii="Open Sans" w:hAnsi="Open Sans" w:cs="Open Sans"/>
                <w:b/>
                <w:bCs/>
                <w:sz w:val="22"/>
                <w:szCs w:val="22"/>
                <w:lang w:val="fr-FR"/>
              </w:rPr>
            </w:pPr>
            <w:r w:rsidRPr="00D37675">
              <w:rPr>
                <w:rFonts w:ascii="Open Sans" w:hAnsi="Open Sans" w:cs="Open Sans"/>
                <w:b/>
                <w:bCs/>
                <w:sz w:val="22"/>
                <w:szCs w:val="22"/>
                <w:lang w:val="fr"/>
              </w:rPr>
              <w:t>Nombre de caisses</w:t>
            </w:r>
          </w:p>
          <w:p w14:paraId="2E0CD8A9" w14:textId="415F6BCC" w:rsidR="000D6A5C" w:rsidRPr="00D37675" w:rsidRDefault="000D6A5C" w:rsidP="00D37675">
            <w:pPr>
              <w:pStyle w:val="NormalWeb"/>
              <w:numPr>
                <w:ilvl w:val="0"/>
                <w:numId w:val="24"/>
              </w:numPr>
              <w:spacing w:before="0" w:beforeAutospacing="0" w:after="80" w:afterAutospacing="0"/>
              <w:ind w:left="619"/>
              <w:rPr>
                <w:rFonts w:ascii="Open Sans Semibold" w:hAnsi="Open Sans Semibold" w:cs="Open Sans Semibold"/>
                <w:color w:val="00A885"/>
                <w:sz w:val="22"/>
                <w:szCs w:val="22"/>
              </w:rPr>
            </w:pPr>
            <w:r w:rsidRPr="00D37675">
              <w:rPr>
                <w:rFonts w:ascii="Open Sans" w:hAnsi="Open Sans" w:cs="Open Sans"/>
                <w:sz w:val="22"/>
                <w:szCs w:val="22"/>
                <w:lang w:val="fr"/>
              </w:rPr>
              <w:t>1 par personne</w:t>
            </w:r>
          </w:p>
        </w:tc>
      </w:tr>
    </w:tbl>
    <w:p w14:paraId="485BE02C" w14:textId="77777777" w:rsidR="000736D0" w:rsidRDefault="000736D0" w:rsidP="00D37675">
      <w:pPr>
        <w:pStyle w:val="NormalWeb"/>
        <w:spacing w:before="40" w:beforeAutospacing="0" w:after="40" w:afterAutospacing="0"/>
        <w:rPr>
          <w:rFonts w:ascii="Open Sans" w:hAnsi="Open Sans" w:cs="Open Sans"/>
          <w:b/>
          <w:bCs/>
          <w:color w:val="000000"/>
          <w:sz w:val="23"/>
          <w:szCs w:val="23"/>
        </w:rPr>
      </w:pPr>
    </w:p>
    <w:p w14:paraId="44417405" w14:textId="10D2516F" w:rsidR="000736D0" w:rsidRDefault="000736D0" w:rsidP="00D37675">
      <w:pPr>
        <w:pStyle w:val="Heading2"/>
        <w:spacing w:after="40"/>
        <w:rPr>
          <w:rFonts w:ascii="Open Sans" w:hAnsi="Open Sans" w:cs="Open Sans"/>
          <w:b/>
          <w:bCs/>
          <w:color w:val="00A885"/>
          <w:sz w:val="23"/>
          <w:szCs w:val="23"/>
        </w:rPr>
      </w:pPr>
      <w:r>
        <w:rPr>
          <w:rFonts w:ascii="Open Sans" w:hAnsi="Open Sans" w:cs="Open Sans"/>
          <w:b/>
          <w:bCs/>
          <w:color w:val="00A885"/>
          <w:sz w:val="23"/>
          <w:szCs w:val="23"/>
          <w:lang w:val="fr"/>
        </w:rPr>
        <w:t>Principaux éléments à retenir</w:t>
      </w:r>
    </w:p>
    <w:p w14:paraId="4155C5B2" w14:textId="4A5036E6" w:rsidR="000736D0" w:rsidRPr="00D37675" w:rsidRDefault="000736D0" w:rsidP="00D3767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40" w:beforeAutospacing="0" w:after="40" w:afterAutospacing="0"/>
        <w:ind w:left="450" w:hanging="450"/>
        <w:rPr>
          <w:rFonts w:ascii="Open Sans" w:hAnsi="Open Sans" w:cs="Open Sans"/>
          <w:color w:val="000000"/>
          <w:sz w:val="22"/>
          <w:szCs w:val="22"/>
          <w:lang w:val="fr-FR"/>
        </w:rPr>
      </w:pP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Suivre les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cibles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plutôt que les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standards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</w:t>
      </w:r>
      <w:proofErr w:type="gramStart"/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suppose</w:t>
      </w:r>
      <w:proofErr w:type="gramEnd"/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que tout le monde soit né avec des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besoins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égaux, plutôt qu’avec des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droits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égaux, ce qui peut être </w:t>
      </w:r>
      <w:r w:rsidR="007F1FF4"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une 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source d’erreur grave.</w:t>
      </w:r>
    </w:p>
    <w:p w14:paraId="5DC22FC8" w14:textId="2D078063" w:rsidR="003D5C0E" w:rsidRPr="00D37675" w:rsidRDefault="00FE5AAF" w:rsidP="00D3767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40" w:beforeAutospacing="0" w:after="40" w:afterAutospacing="0"/>
        <w:ind w:left="450" w:hanging="450"/>
        <w:rPr>
          <w:rFonts w:ascii="Open Sans" w:hAnsi="Open Sans" w:cs="Open Sans"/>
          <w:color w:val="000000"/>
          <w:sz w:val="22"/>
          <w:szCs w:val="22"/>
          <w:lang w:val="fr-FR"/>
        </w:rPr>
      </w:pP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Prenez toujours en compte le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contexte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, et notamment les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besoins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,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capacités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 et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>vulnérabilités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, des personnes auxquelles vous essayez d’apporter une assistance.</w:t>
      </w:r>
    </w:p>
    <w:p w14:paraId="13D51163" w14:textId="3C0F223A" w:rsidR="00E052AA" w:rsidRPr="00D37675" w:rsidRDefault="00455D58" w:rsidP="00D37675">
      <w:pPr>
        <w:pStyle w:val="NormalWeb"/>
        <w:numPr>
          <w:ilvl w:val="0"/>
          <w:numId w:val="27"/>
        </w:numPr>
        <w:tabs>
          <w:tab w:val="clear" w:pos="720"/>
          <w:tab w:val="num" w:pos="450"/>
        </w:tabs>
        <w:spacing w:before="40" w:beforeAutospacing="0" w:after="40" w:afterAutospacing="0"/>
        <w:ind w:left="450" w:hanging="450"/>
        <w:rPr>
          <w:rFonts w:ascii="Open Sans" w:hAnsi="Open Sans" w:cs="Open Sans"/>
          <w:color w:val="000000"/>
          <w:sz w:val="22"/>
          <w:szCs w:val="22"/>
          <w:lang w:val="fr-FR"/>
        </w:rPr>
      </w:pP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 xml:space="preserve">Les personnes touchées par une crise devraient </w:t>
      </w:r>
      <w:r w:rsidRPr="00D37675">
        <w:rPr>
          <w:rFonts w:ascii="Open Sans" w:hAnsi="Open Sans" w:cs="Open Sans"/>
          <w:b/>
          <w:bCs/>
          <w:color w:val="000000"/>
          <w:sz w:val="22"/>
          <w:szCs w:val="22"/>
          <w:lang w:val="fr"/>
        </w:rPr>
        <w:t xml:space="preserve">participer activement </w:t>
      </w:r>
      <w:r w:rsidRPr="00D37675">
        <w:rPr>
          <w:rFonts w:ascii="Open Sans" w:hAnsi="Open Sans" w:cs="Open Sans"/>
          <w:color w:val="000000"/>
          <w:sz w:val="22"/>
          <w:szCs w:val="22"/>
          <w:lang w:val="fr"/>
        </w:rPr>
        <w:t>à chacune des étapes de l’intervention.</w:t>
      </w:r>
    </w:p>
    <w:sectPr w:rsidR="00E052AA" w:rsidRPr="00D37675" w:rsidSect="00D37675">
      <w:pgSz w:w="11909" w:h="16834" w:code="9"/>
      <w:pgMar w:top="9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A761" w14:textId="77777777" w:rsidR="00515055" w:rsidRDefault="00515055" w:rsidP="004D7CDA">
      <w:r>
        <w:separator/>
      </w:r>
    </w:p>
  </w:endnote>
  <w:endnote w:type="continuationSeparator" w:id="0">
    <w:p w14:paraId="46A89336" w14:textId="77777777" w:rsidR="00515055" w:rsidRDefault="00515055" w:rsidP="004D7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2ECE7" w14:textId="77777777" w:rsidR="00515055" w:rsidRDefault="00515055" w:rsidP="004D7CDA">
      <w:r>
        <w:separator/>
      </w:r>
    </w:p>
  </w:footnote>
  <w:footnote w:type="continuationSeparator" w:id="0">
    <w:p w14:paraId="5E552CD8" w14:textId="77777777" w:rsidR="00515055" w:rsidRDefault="00515055" w:rsidP="004D7CDA">
      <w:r>
        <w:continuationSeparator/>
      </w:r>
    </w:p>
  </w:footnote>
  <w:footnote w:id="1">
    <w:p w14:paraId="1E7C7841" w14:textId="09559D91" w:rsidR="004D7CDA" w:rsidRDefault="004D7CDA">
      <w:pPr>
        <w:pStyle w:val="FootnoteText"/>
      </w:pPr>
      <w:r>
        <w:rPr>
          <w:rStyle w:val="FootnoteReference"/>
          <w:lang w:val="fr"/>
        </w:rPr>
        <w:footnoteRef/>
      </w:r>
      <w:r>
        <w:rPr>
          <w:lang w:val="fr"/>
        </w:rPr>
        <w:t xml:space="preserve"> https://www.spherestandards.org/fr/standards-humanitaires/le-partenariat-pour-les-standards-humanitaires/</w:t>
      </w:r>
    </w:p>
  </w:footnote>
  <w:footnote w:id="2">
    <w:p w14:paraId="4F78AEA5" w14:textId="305AAD91" w:rsidR="004D7CDA" w:rsidRDefault="004D7CDA">
      <w:pPr>
        <w:pStyle w:val="FootnoteText"/>
      </w:pPr>
      <w:r>
        <w:rPr>
          <w:rStyle w:val="FootnoteReference"/>
          <w:lang w:val="fr"/>
        </w:rPr>
        <w:footnoteRef/>
      </w:r>
      <w:r w:rsidRPr="00697E1F">
        <w:t xml:space="preserve"> https://handbook.hspstandards.org/fr/sphere/#ch002_002_001_002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613"/>
    <w:multiLevelType w:val="multilevel"/>
    <w:tmpl w:val="D1AAE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B1B70"/>
    <w:multiLevelType w:val="hybridMultilevel"/>
    <w:tmpl w:val="78806D1A"/>
    <w:lvl w:ilvl="0" w:tplc="578C14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115315"/>
    <w:multiLevelType w:val="hybridMultilevel"/>
    <w:tmpl w:val="28FCA802"/>
    <w:lvl w:ilvl="0" w:tplc="87BE07A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E2CFB"/>
    <w:multiLevelType w:val="hybridMultilevel"/>
    <w:tmpl w:val="CB04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117D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D7741E9"/>
    <w:multiLevelType w:val="hybridMultilevel"/>
    <w:tmpl w:val="AFFE5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B0396"/>
    <w:multiLevelType w:val="hybridMultilevel"/>
    <w:tmpl w:val="67442682"/>
    <w:lvl w:ilvl="0" w:tplc="B142B3AA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47AC9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B2F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BC3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FE71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209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781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08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086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B7D23"/>
    <w:multiLevelType w:val="multilevel"/>
    <w:tmpl w:val="1264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9206B"/>
    <w:multiLevelType w:val="hybridMultilevel"/>
    <w:tmpl w:val="2A2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448D3"/>
    <w:multiLevelType w:val="multilevel"/>
    <w:tmpl w:val="34D056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74DDD"/>
    <w:multiLevelType w:val="multilevel"/>
    <w:tmpl w:val="D21A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111F01"/>
    <w:multiLevelType w:val="hybridMultilevel"/>
    <w:tmpl w:val="2CE84F16"/>
    <w:lvl w:ilvl="0" w:tplc="7F96027C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D76A5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2083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41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A7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8EC3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62E8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C9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B2A2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E41320"/>
    <w:multiLevelType w:val="hybridMultilevel"/>
    <w:tmpl w:val="C5362418"/>
    <w:lvl w:ilvl="0" w:tplc="D00033E0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57E3E8C"/>
    <w:multiLevelType w:val="multilevel"/>
    <w:tmpl w:val="5D609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354FCC"/>
    <w:multiLevelType w:val="hybridMultilevel"/>
    <w:tmpl w:val="34FC386E"/>
    <w:lvl w:ilvl="0" w:tplc="2BB64E3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F2A58"/>
    <w:multiLevelType w:val="hybridMultilevel"/>
    <w:tmpl w:val="003C4A8A"/>
    <w:lvl w:ilvl="0" w:tplc="2710F364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950C9B"/>
    <w:multiLevelType w:val="multilevel"/>
    <w:tmpl w:val="78CCC3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BE0817"/>
    <w:multiLevelType w:val="hybridMultilevel"/>
    <w:tmpl w:val="298C4562"/>
    <w:lvl w:ilvl="0" w:tplc="212E2A48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659C7C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8E1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E86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B424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691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200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E3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4D1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652CA"/>
    <w:multiLevelType w:val="hybridMultilevel"/>
    <w:tmpl w:val="B2C4B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32E4A7EA">
      <w:start w:val="1"/>
      <w:numFmt w:val="lowerLetter"/>
      <w:lvlText w:val="%2."/>
      <w:lvlJc w:val="left"/>
      <w:pPr>
        <w:ind w:left="220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A5407B4"/>
    <w:multiLevelType w:val="hybridMultilevel"/>
    <w:tmpl w:val="82102600"/>
    <w:lvl w:ilvl="0" w:tplc="D00033E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F3E4C"/>
    <w:multiLevelType w:val="hybridMultilevel"/>
    <w:tmpl w:val="3456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69A"/>
    <w:multiLevelType w:val="hybridMultilevel"/>
    <w:tmpl w:val="68CE3968"/>
    <w:lvl w:ilvl="0" w:tplc="53C2A242">
      <w:numFmt w:val="bullet"/>
      <w:lvlText w:val="-"/>
      <w:lvlJc w:val="left"/>
      <w:pPr>
        <w:ind w:left="1140" w:hanging="4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A0FB7"/>
    <w:multiLevelType w:val="multilevel"/>
    <w:tmpl w:val="22A43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354025"/>
    <w:multiLevelType w:val="hybridMultilevel"/>
    <w:tmpl w:val="350A2478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2"/>
  </w:num>
  <w:num w:numId="4">
    <w:abstractNumId w:val="15"/>
  </w:num>
  <w:num w:numId="5">
    <w:abstractNumId w:val="4"/>
  </w:num>
  <w:num w:numId="6">
    <w:abstractNumId w:val="19"/>
  </w:num>
  <w:num w:numId="7">
    <w:abstractNumId w:val="0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22"/>
    <w:lvlOverride w:ilvl="0">
      <w:lvl w:ilvl="0">
        <w:numFmt w:val="lowerRoman"/>
        <w:lvlText w:val="%1."/>
        <w:lvlJc w:val="right"/>
      </w:lvl>
    </w:lvlOverride>
  </w:num>
  <w:num w:numId="11">
    <w:abstractNumId w:val="11"/>
  </w:num>
  <w:num w:numId="12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3">
    <w:abstractNumId w:val="11"/>
    <w:lvlOverride w:ilvl="0">
      <w:lvl w:ilvl="0" w:tplc="7F96027C">
        <w:numFmt w:val="lowerRoman"/>
        <w:lvlText w:val="%1."/>
        <w:lvlJc w:val="right"/>
      </w:lvl>
    </w:lvlOverride>
    <w:lvlOverride w:ilvl="1">
      <w:lvl w:ilvl="1" w:tplc="CD76A5D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A020831C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0641EC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A1A7E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E18EC3C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062E8B8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992C9C6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6FB2A2A6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1"/>
    <w:lvlOverride w:ilvl="0">
      <w:lvl w:ilvl="0" w:tplc="7F96027C">
        <w:numFmt w:val="lowerRoman"/>
        <w:lvlText w:val="%1."/>
        <w:lvlJc w:val="right"/>
      </w:lvl>
    </w:lvlOverride>
  </w:num>
  <w:num w:numId="15">
    <w:abstractNumId w:val="9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lowerLetter"/>
        <w:lvlText w:val="%1."/>
        <w:lvlJc w:val="left"/>
      </w:lvl>
    </w:lvlOverride>
  </w:num>
  <w:num w:numId="17">
    <w:abstractNumId w:val="6"/>
  </w:num>
  <w:num w:numId="18">
    <w:abstractNumId w:val="10"/>
    <w:lvlOverride w:ilvl="0">
      <w:lvl w:ilvl="0">
        <w:numFmt w:val="lowerRoman"/>
        <w:lvlText w:val="%1."/>
        <w:lvlJc w:val="right"/>
      </w:lvl>
    </w:lvlOverride>
  </w:num>
  <w:num w:numId="19">
    <w:abstractNumId w:val="17"/>
  </w:num>
  <w:num w:numId="20">
    <w:abstractNumId w:val="3"/>
  </w:num>
  <w:num w:numId="21">
    <w:abstractNumId w:val="8"/>
  </w:num>
  <w:num w:numId="22">
    <w:abstractNumId w:val="23"/>
  </w:num>
  <w:num w:numId="23">
    <w:abstractNumId w:val="5"/>
  </w:num>
  <w:num w:numId="24">
    <w:abstractNumId w:val="2"/>
  </w:num>
  <w:num w:numId="25">
    <w:abstractNumId w:val="14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A2"/>
    <w:rsid w:val="00017C37"/>
    <w:rsid w:val="00020A92"/>
    <w:rsid w:val="00040566"/>
    <w:rsid w:val="0004408D"/>
    <w:rsid w:val="000736D0"/>
    <w:rsid w:val="00094D59"/>
    <w:rsid w:val="000A4A3D"/>
    <w:rsid w:val="000D6A5C"/>
    <w:rsid w:val="00112545"/>
    <w:rsid w:val="00122934"/>
    <w:rsid w:val="00183EFA"/>
    <w:rsid w:val="00184A33"/>
    <w:rsid w:val="00192467"/>
    <w:rsid w:val="001A14F7"/>
    <w:rsid w:val="001A30F1"/>
    <w:rsid w:val="001B4956"/>
    <w:rsid w:val="001F19F8"/>
    <w:rsid w:val="001F6C9E"/>
    <w:rsid w:val="002334F0"/>
    <w:rsid w:val="00254791"/>
    <w:rsid w:val="00274B0F"/>
    <w:rsid w:val="002807E8"/>
    <w:rsid w:val="00282240"/>
    <w:rsid w:val="002A4976"/>
    <w:rsid w:val="002B1A2B"/>
    <w:rsid w:val="002E1A9D"/>
    <w:rsid w:val="002F1FC2"/>
    <w:rsid w:val="00312E43"/>
    <w:rsid w:val="00330B95"/>
    <w:rsid w:val="00341BBD"/>
    <w:rsid w:val="003B4E97"/>
    <w:rsid w:val="003C4FE3"/>
    <w:rsid w:val="003D317C"/>
    <w:rsid w:val="003D5C0E"/>
    <w:rsid w:val="0040078F"/>
    <w:rsid w:val="0041370C"/>
    <w:rsid w:val="0043669C"/>
    <w:rsid w:val="0045569C"/>
    <w:rsid w:val="00455D58"/>
    <w:rsid w:val="004822C3"/>
    <w:rsid w:val="004924BE"/>
    <w:rsid w:val="004A0528"/>
    <w:rsid w:val="004D7CDA"/>
    <w:rsid w:val="004E35C4"/>
    <w:rsid w:val="0050467C"/>
    <w:rsid w:val="00512F06"/>
    <w:rsid w:val="00513C5E"/>
    <w:rsid w:val="00515055"/>
    <w:rsid w:val="00564A2D"/>
    <w:rsid w:val="005738F8"/>
    <w:rsid w:val="005917C3"/>
    <w:rsid w:val="00594D8C"/>
    <w:rsid w:val="005C22CC"/>
    <w:rsid w:val="005C42B2"/>
    <w:rsid w:val="005D138E"/>
    <w:rsid w:val="005E690D"/>
    <w:rsid w:val="005F0FEB"/>
    <w:rsid w:val="0063792F"/>
    <w:rsid w:val="006570ED"/>
    <w:rsid w:val="00697E1F"/>
    <w:rsid w:val="006C268F"/>
    <w:rsid w:val="00700074"/>
    <w:rsid w:val="007101EF"/>
    <w:rsid w:val="00715800"/>
    <w:rsid w:val="00794810"/>
    <w:rsid w:val="007B1E74"/>
    <w:rsid w:val="007B3CCB"/>
    <w:rsid w:val="007C4409"/>
    <w:rsid w:val="007E76D4"/>
    <w:rsid w:val="007F1FF4"/>
    <w:rsid w:val="00806644"/>
    <w:rsid w:val="0081407D"/>
    <w:rsid w:val="00822B07"/>
    <w:rsid w:val="00856908"/>
    <w:rsid w:val="008633AC"/>
    <w:rsid w:val="0086650C"/>
    <w:rsid w:val="00875F67"/>
    <w:rsid w:val="008A24EE"/>
    <w:rsid w:val="008C24E5"/>
    <w:rsid w:val="008F11D0"/>
    <w:rsid w:val="00906DF6"/>
    <w:rsid w:val="00911B13"/>
    <w:rsid w:val="00912412"/>
    <w:rsid w:val="00940634"/>
    <w:rsid w:val="00950647"/>
    <w:rsid w:val="00970B41"/>
    <w:rsid w:val="00971028"/>
    <w:rsid w:val="00972D4F"/>
    <w:rsid w:val="00973FF3"/>
    <w:rsid w:val="0097693B"/>
    <w:rsid w:val="009A59A2"/>
    <w:rsid w:val="009A6FF9"/>
    <w:rsid w:val="009C6BE0"/>
    <w:rsid w:val="009D77C4"/>
    <w:rsid w:val="009E77BD"/>
    <w:rsid w:val="009F367C"/>
    <w:rsid w:val="00A15D04"/>
    <w:rsid w:val="00A31260"/>
    <w:rsid w:val="00A35680"/>
    <w:rsid w:val="00A36C35"/>
    <w:rsid w:val="00AB026F"/>
    <w:rsid w:val="00AC1AD5"/>
    <w:rsid w:val="00AC711A"/>
    <w:rsid w:val="00AC7605"/>
    <w:rsid w:val="00AD1AF5"/>
    <w:rsid w:val="00B2067B"/>
    <w:rsid w:val="00B24FB8"/>
    <w:rsid w:val="00B31B77"/>
    <w:rsid w:val="00B40497"/>
    <w:rsid w:val="00B431B2"/>
    <w:rsid w:val="00B878A2"/>
    <w:rsid w:val="00B97D5F"/>
    <w:rsid w:val="00BB026D"/>
    <w:rsid w:val="00BC439C"/>
    <w:rsid w:val="00BD04B3"/>
    <w:rsid w:val="00BE0FC3"/>
    <w:rsid w:val="00BE1B22"/>
    <w:rsid w:val="00C04196"/>
    <w:rsid w:val="00C50CF1"/>
    <w:rsid w:val="00C667E4"/>
    <w:rsid w:val="00CA7A5F"/>
    <w:rsid w:val="00CD3909"/>
    <w:rsid w:val="00CD71DB"/>
    <w:rsid w:val="00CE0BD1"/>
    <w:rsid w:val="00CE303F"/>
    <w:rsid w:val="00D008D7"/>
    <w:rsid w:val="00D10177"/>
    <w:rsid w:val="00D24993"/>
    <w:rsid w:val="00D37675"/>
    <w:rsid w:val="00D51623"/>
    <w:rsid w:val="00D77784"/>
    <w:rsid w:val="00DA0C90"/>
    <w:rsid w:val="00DA17CF"/>
    <w:rsid w:val="00DA2E67"/>
    <w:rsid w:val="00DA53BE"/>
    <w:rsid w:val="00DD222B"/>
    <w:rsid w:val="00E052AA"/>
    <w:rsid w:val="00E46B8A"/>
    <w:rsid w:val="00E6000F"/>
    <w:rsid w:val="00EE34B2"/>
    <w:rsid w:val="00F06C0B"/>
    <w:rsid w:val="00F16026"/>
    <w:rsid w:val="00F30A17"/>
    <w:rsid w:val="00F6384F"/>
    <w:rsid w:val="00F7553B"/>
    <w:rsid w:val="00F771BA"/>
    <w:rsid w:val="00F86F96"/>
    <w:rsid w:val="00FC3BA3"/>
    <w:rsid w:val="00FD6F52"/>
    <w:rsid w:val="00FE5399"/>
    <w:rsid w:val="00FE5AAF"/>
    <w:rsid w:val="00FE754C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3E19"/>
  <w15:chartTrackingRefBased/>
  <w15:docId w15:val="{0E75E767-DA4B-43C6-8272-682A9749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2CC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2C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2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-8455159250973336675msolistparagraph">
    <w:name w:val="gmail-m_-8455159250973336675msolistparagraph"/>
    <w:basedOn w:val="Normal"/>
    <w:rsid w:val="005C22CC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2C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C2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5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07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00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B3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31B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7C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7CDA"/>
    <w:rPr>
      <w:rFonts w:ascii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7CD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97E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1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97E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E1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2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223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andbook.hspstandards.org/fr/spher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spherestandards.org/fr/standards-humanitaires/le-partenariat-pour-les-standards-humanitair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4" ma:contentTypeDescription="Create a new document." ma:contentTypeScope="" ma:versionID="5c062917d836063c078d70675bbb2748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cb267351adbee37905e8c8ceca07b355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9860B-7774-4900-BAAC-608AC9CC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5b3f0-e072-4ae3-b261-722c43fa6e26"/>
    <ds:schemaRef ds:uri="9051fefc-2ea4-4620-a82b-61f19e316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63741-95CA-4495-B3FC-A3F1A70D5FBB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3.xml><?xml version="1.0" encoding="utf-8"?>
<ds:datastoreItem xmlns:ds="http://schemas.openxmlformats.org/officeDocument/2006/customXml" ds:itemID="{7C5DBDB3-D36C-43A1-B0B2-E724D25556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6</cp:revision>
  <dcterms:created xsi:type="dcterms:W3CDTF">2021-09-14T12:59:00Z</dcterms:created>
  <dcterms:modified xsi:type="dcterms:W3CDTF">2021-09-24T06:34:00Z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</Properties>
</file>