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C95C" w14:textId="784BCAC1" w:rsidR="00B31B77" w:rsidRPr="003740E3" w:rsidRDefault="009D7E30" w:rsidP="0097693B">
      <w:pPr>
        <w:pStyle w:val="Heading1"/>
        <w:spacing w:before="80" w:after="80"/>
        <w:rPr>
          <w:rFonts w:ascii="Open Sans" w:hAnsi="Open Sans" w:cs="Open Sans"/>
          <w:color w:val="00A885"/>
          <w:sz w:val="28"/>
          <w:szCs w:val="28"/>
          <w:lang w:val="id-ID"/>
        </w:rPr>
      </w:pPr>
      <w:r w:rsidRPr="003740E3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 xml:space="preserve">Lembar Bahan Pembelajaran </w:t>
      </w:r>
      <w:r w:rsidR="00FA00B0" w:rsidRPr="003740E3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 xml:space="preserve">tentang </w:t>
      </w:r>
      <w:r w:rsidRPr="003740E3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>Standar</w:t>
      </w:r>
      <w:r w:rsidR="00B31B77" w:rsidRPr="003740E3">
        <w:rPr>
          <w:rFonts w:ascii="Open Sans" w:hAnsi="Open Sans" w:cs="Open Sans"/>
          <w:b/>
          <w:bCs/>
          <w:color w:val="00A885"/>
          <w:sz w:val="28"/>
          <w:szCs w:val="28"/>
          <w:lang w:val="id-ID"/>
        </w:rPr>
        <w:t xml:space="preserve"> vs. Target</w:t>
      </w:r>
    </w:p>
    <w:p w14:paraId="35E9B466" w14:textId="44406F2D" w:rsidR="00B31B77" w:rsidRPr="003740E3" w:rsidRDefault="00B31B77" w:rsidP="0097693B">
      <w:pPr>
        <w:spacing w:before="80" w:after="80"/>
        <w:rPr>
          <w:rFonts w:ascii="Open Sans" w:hAnsi="Open Sans" w:cs="Open Sans"/>
          <w:color w:val="00A885"/>
          <w:sz w:val="23"/>
          <w:szCs w:val="23"/>
          <w:lang w:val="id-ID"/>
        </w:rPr>
      </w:pPr>
    </w:p>
    <w:p w14:paraId="3F93CF7E" w14:textId="04A10A8E" w:rsidR="005917C3" w:rsidRPr="003740E3" w:rsidRDefault="009D7E30" w:rsidP="005917C3">
      <w:pPr>
        <w:pStyle w:val="Heading2"/>
        <w:spacing w:before="80" w:after="80"/>
        <w:rPr>
          <w:rFonts w:ascii="Open Sans" w:hAnsi="Open Sans" w:cs="Open Sans"/>
          <w:color w:val="00A885"/>
          <w:sz w:val="23"/>
          <w:szCs w:val="23"/>
          <w:lang w:val="id-ID"/>
        </w:rPr>
      </w:pPr>
      <w:r w:rsidRPr="003740E3"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t>Latar Belakang</w:t>
      </w:r>
    </w:p>
    <w:p w14:paraId="76E951A0" w14:textId="4698BB99" w:rsidR="00E46B8A" w:rsidRPr="003740E3" w:rsidRDefault="00972D4F" w:rsidP="0097693B">
      <w:pPr>
        <w:spacing w:before="80" w:after="80"/>
        <w:rPr>
          <w:rFonts w:ascii="Open Sans" w:hAnsi="Open Sans" w:cs="Open Sans"/>
          <w:color w:val="00A885"/>
          <w:sz w:val="23"/>
          <w:szCs w:val="23"/>
          <w:lang w:val="id-ID"/>
        </w:rPr>
      </w:pP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Sphere, </w:t>
      </w:r>
      <w:r w:rsidR="009D7E30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dan standar-standar lainnya dalam </w:t>
      </w:r>
      <w:hyperlink r:id="rId10" w:history="1">
        <w:r w:rsidRPr="003740E3">
          <w:rPr>
            <w:rStyle w:val="Hyperlink"/>
            <w:rFonts w:ascii="Open Sans" w:hAnsi="Open Sans" w:cs="Open Sans"/>
            <w:sz w:val="23"/>
            <w:szCs w:val="23"/>
            <w:lang w:val="id-ID"/>
          </w:rPr>
          <w:t>Humanitarian Standards Partnership</w:t>
        </w:r>
      </w:hyperlink>
      <w:r w:rsidR="004D7CDA" w:rsidRPr="003740E3">
        <w:rPr>
          <w:rStyle w:val="FootnoteReference"/>
          <w:rFonts w:ascii="Open Sans" w:hAnsi="Open Sans" w:cs="Open Sans"/>
          <w:color w:val="000000"/>
          <w:sz w:val="23"/>
          <w:szCs w:val="23"/>
          <w:lang w:val="id-ID"/>
        </w:rPr>
        <w:footnoteReference w:id="1"/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(HSP), </w:t>
      </w:r>
      <w:r w:rsidR="009D7E30" w:rsidRPr="003740E3">
        <w:rPr>
          <w:rFonts w:ascii="Open Sans" w:hAnsi="Open Sans" w:cs="Open Sans"/>
          <w:color w:val="000000"/>
          <w:sz w:val="23"/>
          <w:szCs w:val="23"/>
          <w:lang w:val="id-ID"/>
        </w:rPr>
        <w:t>mengenal definisi standar</w:t>
      </w:r>
      <w:r w:rsidR="00A0760C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</w:t>
      </w:r>
      <w:r w:rsidR="009D7E30" w:rsidRPr="003740E3">
        <w:rPr>
          <w:rFonts w:ascii="Open Sans" w:hAnsi="Open Sans" w:cs="Open Sans"/>
          <w:color w:val="000000"/>
          <w:sz w:val="23"/>
          <w:szCs w:val="23"/>
          <w:lang w:val="id-ID"/>
        </w:rPr>
        <w:t>dan indikator berikut</w:t>
      </w:r>
      <w:r w:rsidR="005738F8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(</w:t>
      </w:r>
      <w:r w:rsidR="009D7E30" w:rsidRPr="003740E3">
        <w:rPr>
          <w:rFonts w:ascii="Open Sans" w:hAnsi="Open Sans" w:cs="Open Sans"/>
          <w:color w:val="000000"/>
          <w:sz w:val="23"/>
          <w:szCs w:val="23"/>
          <w:lang w:val="id-ID"/>
        </w:rPr>
        <w:t>dari</w:t>
      </w:r>
      <w:r w:rsidR="005738F8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</w:t>
      </w:r>
      <w:hyperlink r:id="rId11" w:anchor="ch002_002_001_002" w:history="1">
        <w:r w:rsidR="009D7E30" w:rsidRPr="003740E3">
          <w:rPr>
            <w:rStyle w:val="Hyperlink"/>
            <w:rFonts w:ascii="Open Sans" w:hAnsi="Open Sans" w:cs="Open Sans"/>
            <w:sz w:val="23"/>
            <w:szCs w:val="23"/>
            <w:lang w:val="id-ID"/>
          </w:rPr>
          <w:t>Struktur</w:t>
        </w:r>
        <w:r w:rsidR="00513C5E" w:rsidRPr="003740E3">
          <w:rPr>
            <w:rStyle w:val="Hyperlink"/>
            <w:rFonts w:ascii="Open Sans" w:hAnsi="Open Sans" w:cs="Open Sans"/>
            <w:sz w:val="23"/>
            <w:szCs w:val="23"/>
            <w:lang w:val="id-ID"/>
          </w:rPr>
          <w:t xml:space="preserve"> standar</w:t>
        </w:r>
      </w:hyperlink>
      <w:r w:rsidR="004D7CDA" w:rsidRPr="003740E3">
        <w:rPr>
          <w:rStyle w:val="FootnoteReference"/>
          <w:rFonts w:ascii="Open Sans" w:hAnsi="Open Sans" w:cs="Open Sans"/>
          <w:color w:val="000000"/>
          <w:sz w:val="23"/>
          <w:szCs w:val="23"/>
          <w:lang w:val="id-ID"/>
        </w:rPr>
        <w:footnoteReference w:id="2"/>
      </w:r>
      <w:r w:rsidR="004D7CDA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</w:t>
      </w:r>
      <w:r w:rsidR="009D7E30" w:rsidRPr="003740E3">
        <w:rPr>
          <w:rFonts w:ascii="Open Sans" w:hAnsi="Open Sans" w:cs="Open Sans"/>
          <w:color w:val="000000"/>
          <w:sz w:val="23"/>
          <w:szCs w:val="23"/>
          <w:lang w:val="id-ID"/>
        </w:rPr>
        <w:t>di halaman 6 Buku Sphere)</w:t>
      </w:r>
      <w:r w:rsidR="005738F8" w:rsidRPr="003740E3">
        <w:rPr>
          <w:rFonts w:ascii="Open Sans" w:hAnsi="Open Sans" w:cs="Open Sans"/>
          <w:color w:val="000000"/>
          <w:sz w:val="23"/>
          <w:szCs w:val="23"/>
          <w:lang w:val="id-ID"/>
        </w:rPr>
        <w:t>.</w:t>
      </w:r>
    </w:p>
    <w:p w14:paraId="74CA373C" w14:textId="587B3574" w:rsidR="00BB026D" w:rsidRPr="003740E3" w:rsidRDefault="009D7E30" w:rsidP="0097693B">
      <w:pPr>
        <w:pStyle w:val="ListParagraph"/>
        <w:numPr>
          <w:ilvl w:val="0"/>
          <w:numId w:val="26"/>
        </w:numPr>
        <w:spacing w:before="80" w:after="80"/>
        <w:contextualSpacing w:val="0"/>
        <w:rPr>
          <w:rFonts w:ascii="Open Sans" w:hAnsi="Open Sans" w:cs="Open Sans"/>
          <w:sz w:val="23"/>
          <w:szCs w:val="23"/>
          <w:lang w:val="id-ID"/>
        </w:rPr>
      </w:pPr>
      <w:r w:rsidRPr="003740E3">
        <w:rPr>
          <w:rFonts w:ascii="Open Sans" w:hAnsi="Open Sans" w:cs="Open Sans"/>
          <w:b/>
          <w:bCs/>
          <w:sz w:val="23"/>
          <w:szCs w:val="23"/>
          <w:lang w:val="id-ID"/>
        </w:rPr>
        <w:t>Standar</w:t>
      </w:r>
      <w:r w:rsidR="00BB026D" w:rsidRPr="003740E3">
        <w:rPr>
          <w:rFonts w:ascii="Open Sans" w:hAnsi="Open Sans" w:cs="Open Sans"/>
          <w:sz w:val="23"/>
          <w:szCs w:val="23"/>
          <w:lang w:val="id-ID"/>
        </w:rPr>
        <w:t xml:space="preserve"> </w:t>
      </w:r>
      <w:r w:rsidR="00973FF6" w:rsidRPr="003740E3">
        <w:rPr>
          <w:rFonts w:ascii="Open Sans" w:hAnsi="Open Sans" w:cs="Open Sans"/>
          <w:sz w:val="23"/>
          <w:szCs w:val="23"/>
          <w:lang w:val="id-ID"/>
        </w:rPr>
        <w:t>berasal</w:t>
      </w:r>
      <w:r w:rsidRPr="003740E3">
        <w:rPr>
          <w:rFonts w:ascii="Open Sans" w:hAnsi="Open Sans" w:cs="Open Sans"/>
          <w:sz w:val="23"/>
          <w:szCs w:val="23"/>
          <w:lang w:val="id-ID"/>
        </w:rPr>
        <w:t xml:space="preserve"> dari prinsip hak untuk hidup bermartabat. Standar bersifat umum dan kualitatif, menyatakan minimum yang harus dicapai dalam setiap krisis kemanusiaan. Setara dengan “komitmen” dan “kriteria kualitas” dalam </w:t>
      </w:r>
      <w:r w:rsidR="00973FF6" w:rsidRPr="003740E3">
        <w:rPr>
          <w:rFonts w:ascii="Open Sans" w:hAnsi="Open Sans" w:cs="Open Sans"/>
          <w:sz w:val="23"/>
          <w:szCs w:val="23"/>
          <w:lang w:val="id-ID"/>
        </w:rPr>
        <w:t>Standar Inti Kemanusiaan.</w:t>
      </w:r>
    </w:p>
    <w:p w14:paraId="5E8ABC4F" w14:textId="355FE69C" w:rsidR="0043669C" w:rsidRPr="003740E3" w:rsidRDefault="00973FF6" w:rsidP="0097693B">
      <w:pPr>
        <w:pStyle w:val="NormalWeb"/>
        <w:numPr>
          <w:ilvl w:val="0"/>
          <w:numId w:val="26"/>
        </w:numPr>
        <w:spacing w:before="80" w:beforeAutospacing="0" w:after="80" w:afterAutospacing="0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3740E3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 xml:space="preserve">Indikator Kunci 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berfungsi sebagai sinyal untuk mengukur apakah standar telah tercapai. Indikator kunci menyediakan cara untuk menangkap proses dan hasil program terhadap standar dalam masa respons kemanusiaan. </w:t>
      </w:r>
      <w:r w:rsidRPr="003740E3">
        <w:rPr>
          <w:rFonts w:ascii="Open Sans" w:hAnsi="Open Sans" w:cs="Open Sans"/>
          <w:color w:val="000000"/>
          <w:sz w:val="23"/>
          <w:szCs w:val="23"/>
          <w:u w:val="single"/>
          <w:lang w:val="id-ID"/>
        </w:rPr>
        <w:t xml:space="preserve">Persyaratan kuantitatif minimum adalah tingkat pencapaian terendah yang dapat diterima untuk indikator dan hanya disertakan jika ada konsensus sektoral. </w:t>
      </w:r>
    </w:p>
    <w:p w14:paraId="1BAFDB4B" w14:textId="04AAD88F" w:rsidR="00E46B8A" w:rsidRPr="003740E3" w:rsidRDefault="00973FF6" w:rsidP="0097693B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Pada kalimat yang digaris bawahi diatas, “Persyaratan kuantitatif minimum” menjelaskan </w:t>
      </w:r>
      <w:r w:rsidRPr="003740E3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 xml:space="preserve">target </w:t>
      </w:r>
      <w:r w:rsidRPr="003740E3">
        <w:rPr>
          <w:rFonts w:ascii="Open Sans" w:hAnsi="Open Sans" w:cs="Open Sans"/>
          <w:bCs/>
          <w:color w:val="000000"/>
          <w:sz w:val="23"/>
          <w:szCs w:val="23"/>
          <w:lang w:val="id-ID"/>
        </w:rPr>
        <w:t>yang di</w:t>
      </w:r>
      <w:r w:rsidR="00D517BB" w:rsidRPr="003740E3">
        <w:rPr>
          <w:rFonts w:ascii="Open Sans" w:hAnsi="Open Sans" w:cs="Open Sans"/>
          <w:bCs/>
          <w:color w:val="000000"/>
          <w:sz w:val="23"/>
          <w:szCs w:val="23"/>
          <w:lang w:val="id-ID"/>
        </w:rPr>
        <w:t>kaitkan</w:t>
      </w:r>
      <w:r w:rsidRPr="003740E3">
        <w:rPr>
          <w:rFonts w:ascii="Open Sans" w:hAnsi="Open Sans" w:cs="Open Sans"/>
          <w:bCs/>
          <w:color w:val="000000"/>
          <w:sz w:val="23"/>
          <w:szCs w:val="23"/>
          <w:lang w:val="id-ID"/>
        </w:rPr>
        <w:t xml:space="preserve"> dengan beberapa indikator. </w:t>
      </w:r>
    </w:p>
    <w:p w14:paraId="7A244579" w14:textId="34550279" w:rsidR="00B31B77" w:rsidRPr="003740E3" w:rsidRDefault="00D517BB" w:rsidP="003740E3">
      <w:pPr>
        <w:pStyle w:val="Heading2"/>
        <w:spacing w:before="240" w:after="80"/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</w:pPr>
      <w:r w:rsidRPr="003740E3"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t>Aktivitas Pembelajaran</w:t>
      </w:r>
    </w:p>
    <w:p w14:paraId="4A2D9C95" w14:textId="3386D9A1" w:rsidR="007101EF" w:rsidRPr="003740E3" w:rsidRDefault="00D517BB" w:rsidP="007101EF">
      <w:pPr>
        <w:rPr>
          <w:lang w:val="id-ID"/>
        </w:rPr>
      </w:pP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Aktivitas yang telah Anda selesaikan dirancang agar Anda dapat menggali hubungan dan perbedaan antara </w:t>
      </w:r>
      <w:r w:rsidRPr="003740E3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standar</w:t>
      </w:r>
      <w:r w:rsidR="009D77C4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and </w:t>
      </w:r>
      <w:r w:rsidRPr="003740E3">
        <w:rPr>
          <w:rFonts w:ascii="Open Sans" w:hAnsi="Open Sans" w:cs="Open Sans"/>
          <w:b/>
          <w:bCs/>
          <w:color w:val="000000"/>
          <w:sz w:val="23"/>
          <w:szCs w:val="23"/>
          <w:lang w:val="id-ID"/>
        </w:rPr>
        <w:t>target</w:t>
      </w:r>
      <w:r w:rsidR="004924BE"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. 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Sekarang setelah Anda melakukan, definisi yang terdapat dalam Buku Sphere dan dijelaskan diatas akan lebih mudah dipahami. </w:t>
      </w:r>
    </w:p>
    <w:p w14:paraId="49A6C64F" w14:textId="77777777" w:rsidR="007101EF" w:rsidRPr="003740E3" w:rsidRDefault="007101EF" w:rsidP="007101EF">
      <w:pPr>
        <w:rPr>
          <w:lang w:val="id-ID"/>
        </w:rPr>
      </w:pP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B31B77" w:rsidRPr="003740E3" w14:paraId="05064C0B" w14:textId="77777777" w:rsidTr="002334F0">
        <w:trPr>
          <w:trHeight w:val="1098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832A6" w14:textId="7360DE56" w:rsidR="001B4956" w:rsidRPr="003740E3" w:rsidRDefault="00B31B77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</w:pPr>
            <w:r w:rsidRPr="003740E3"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  <w:t>Standar</w:t>
            </w:r>
            <w:r w:rsidR="001F6C9E" w:rsidRPr="003740E3"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  <w:t>:</w:t>
            </w:r>
          </w:p>
          <w:p w14:paraId="599A06DE" w14:textId="4CE8B166" w:rsidR="00B31B77" w:rsidRPr="003740E3" w:rsidRDefault="00D517BB" w:rsidP="005F0FEB">
            <w:pPr>
              <w:pStyle w:val="NormalWeb"/>
              <w:spacing w:before="80" w:beforeAutospacing="0" w:after="80" w:afterAutospacing="0"/>
              <w:ind w:left="255"/>
              <w:rPr>
                <w:rFonts w:ascii="Open Sans" w:hAnsi="Open Sans" w:cs="Open Sans"/>
                <w:sz w:val="23"/>
                <w:szCs w:val="23"/>
                <w:lang w:val="id-ID"/>
              </w:rPr>
            </w:pPr>
            <w:r w:rsidRPr="003740E3">
              <w:rPr>
                <w:rFonts w:ascii="Open Sans" w:hAnsi="Open Sans" w:cs="Open Sans"/>
                <w:sz w:val="23"/>
                <w:szCs w:val="23"/>
                <w:lang w:val="id-ID"/>
              </w:rPr>
              <w:t>Masyarakat dapat dengan aman melihat pemandangan indah</w:t>
            </w:r>
          </w:p>
        </w:tc>
      </w:tr>
      <w:tr w:rsidR="000D6A5C" w:rsidRPr="003740E3" w14:paraId="3DE08910" w14:textId="77777777" w:rsidTr="002334F0">
        <w:trPr>
          <w:trHeight w:val="1545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4E10D" w14:textId="77777777" w:rsidR="00D517BB" w:rsidRPr="003740E3" w:rsidRDefault="00D517BB" w:rsidP="00D517BB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</w:pPr>
            <w:r w:rsidRPr="003740E3"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  <w:t>Indikator kunci</w:t>
            </w:r>
          </w:p>
          <w:p w14:paraId="2D0A7362" w14:textId="77777777" w:rsidR="00D517BB" w:rsidRPr="003740E3" w:rsidRDefault="00D517BB" w:rsidP="00D517BB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b/>
                <w:bCs/>
                <w:sz w:val="23"/>
                <w:szCs w:val="23"/>
                <w:lang w:val="id-ID"/>
              </w:rPr>
            </w:pPr>
            <w:r w:rsidRPr="003740E3">
              <w:rPr>
                <w:rFonts w:ascii="Open Sans" w:hAnsi="Open Sans" w:cs="Open Sans"/>
                <w:b/>
                <w:bCs/>
                <w:sz w:val="23"/>
                <w:szCs w:val="23"/>
                <w:lang w:val="id-ID"/>
              </w:rPr>
              <w:t>Jumlah kotak kayu</w:t>
            </w:r>
          </w:p>
          <w:p w14:paraId="2E0CD8A9" w14:textId="04F95145" w:rsidR="000D6A5C" w:rsidRPr="003740E3" w:rsidRDefault="00D517BB" w:rsidP="005A38EB">
            <w:pPr>
              <w:pStyle w:val="NormalWeb"/>
              <w:numPr>
                <w:ilvl w:val="0"/>
                <w:numId w:val="24"/>
              </w:numPr>
              <w:spacing w:before="80" w:beforeAutospacing="0" w:after="0" w:afterAutospacing="0"/>
              <w:ind w:left="615"/>
              <w:rPr>
                <w:rFonts w:ascii="Open Sans Semibold" w:hAnsi="Open Sans Semibold" w:cs="Open Sans Semibold"/>
                <w:color w:val="00A885"/>
                <w:sz w:val="23"/>
                <w:szCs w:val="23"/>
                <w:lang w:val="id-ID"/>
              </w:rPr>
            </w:pPr>
            <w:r w:rsidRPr="003740E3">
              <w:rPr>
                <w:rFonts w:ascii="Open Sans" w:hAnsi="Open Sans" w:cs="Open Sans"/>
                <w:sz w:val="23"/>
                <w:szCs w:val="23"/>
                <w:lang w:val="id-ID"/>
              </w:rPr>
              <w:t>1 per orang</w:t>
            </w:r>
          </w:p>
        </w:tc>
      </w:tr>
    </w:tbl>
    <w:p w14:paraId="44417405" w14:textId="30E58961" w:rsidR="000736D0" w:rsidRPr="003740E3" w:rsidRDefault="00D517BB" w:rsidP="003740E3">
      <w:pPr>
        <w:pStyle w:val="Heading2"/>
        <w:spacing w:before="240" w:after="80"/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</w:pPr>
      <w:r w:rsidRPr="003740E3">
        <w:rPr>
          <w:rFonts w:ascii="Open Sans" w:hAnsi="Open Sans" w:cs="Open Sans"/>
          <w:b/>
          <w:bCs/>
          <w:color w:val="00A885"/>
          <w:sz w:val="23"/>
          <w:szCs w:val="23"/>
          <w:lang w:val="id-ID"/>
        </w:rPr>
        <w:t>Pembelajaran utama yang didapat:</w:t>
      </w:r>
    </w:p>
    <w:p w14:paraId="26552553" w14:textId="3D2B238F" w:rsidR="00A0760C" w:rsidRPr="003740E3" w:rsidRDefault="00A0760C" w:rsidP="00A0760C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Mengejar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target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daripada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standar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berarti menganggap bahwa setiap orang dilahirkan dengan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kebutuhan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yang sama , dan bukan berdasar kesetaraan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hak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, merupakan kesalahan yang berpotensi membahayakan. </w:t>
      </w:r>
    </w:p>
    <w:p w14:paraId="5DC22FC8" w14:textId="1D7D54D2" w:rsidR="003D5C0E" w:rsidRPr="003740E3" w:rsidRDefault="00A0760C" w:rsidP="00E052AA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Selalu pertimbangkan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konteks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, termasuk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kebutuhan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,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kapasitas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dan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kerentanan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masyarakat yang Anda coba bantu.</w:t>
      </w:r>
    </w:p>
    <w:p w14:paraId="13D51163" w14:textId="764F5C23" w:rsidR="00E052AA" w:rsidRPr="003740E3" w:rsidRDefault="00A0760C" w:rsidP="00E052AA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rPr>
          <w:rFonts w:ascii="Open Sans" w:hAnsi="Open Sans" w:cs="Open Sans"/>
          <w:color w:val="000000"/>
          <w:sz w:val="23"/>
          <w:szCs w:val="23"/>
          <w:lang w:val="id-ID"/>
        </w:rPr>
      </w:pP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Masyarakat terdampak krisis kemanusiaan harus </w:t>
      </w:r>
      <w:r w:rsidRPr="003740E3">
        <w:rPr>
          <w:rFonts w:ascii="Open Sans" w:hAnsi="Open Sans" w:cs="Open Sans"/>
          <w:b/>
          <w:color w:val="000000"/>
          <w:sz w:val="23"/>
          <w:szCs w:val="23"/>
          <w:lang w:val="id-ID"/>
        </w:rPr>
        <w:t>aktif berpartisipasi</w:t>
      </w:r>
      <w:r w:rsidRPr="003740E3">
        <w:rPr>
          <w:rFonts w:ascii="Open Sans" w:hAnsi="Open Sans" w:cs="Open Sans"/>
          <w:color w:val="000000"/>
          <w:sz w:val="23"/>
          <w:szCs w:val="23"/>
          <w:lang w:val="id-ID"/>
        </w:rPr>
        <w:t xml:space="preserve"> di semua tahapan respons kemanusiaan.</w:t>
      </w:r>
    </w:p>
    <w:sectPr w:rsidR="00E052AA" w:rsidRPr="003740E3" w:rsidSect="005A38EB">
      <w:pgSz w:w="11909" w:h="16834" w:code="9"/>
      <w:pgMar w:top="108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3D80E" w14:textId="77777777" w:rsidR="00CD2616" w:rsidRDefault="00CD2616" w:rsidP="004D7CDA">
      <w:r>
        <w:separator/>
      </w:r>
    </w:p>
  </w:endnote>
  <w:endnote w:type="continuationSeparator" w:id="0">
    <w:p w14:paraId="27788F1F" w14:textId="77777777" w:rsidR="00CD2616" w:rsidRDefault="00CD2616" w:rsidP="004D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﷽﷽﷽﷽﷽﷽﷽﷽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174EC" w14:textId="77777777" w:rsidR="00CD2616" w:rsidRDefault="00CD2616" w:rsidP="004D7CDA">
      <w:r>
        <w:separator/>
      </w:r>
    </w:p>
  </w:footnote>
  <w:footnote w:type="continuationSeparator" w:id="0">
    <w:p w14:paraId="4B6B15A7" w14:textId="77777777" w:rsidR="00CD2616" w:rsidRDefault="00CD2616" w:rsidP="004D7CDA">
      <w:r>
        <w:continuationSeparator/>
      </w:r>
    </w:p>
  </w:footnote>
  <w:footnote w:id="1">
    <w:p w14:paraId="1E7C7841" w14:textId="49F3CE08" w:rsidR="004D7CDA" w:rsidRDefault="004D7CD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41370C" w:rsidRPr="00ED52B4">
          <w:rPr>
            <w:rStyle w:val="Hyperlink"/>
          </w:rPr>
          <w:t>https://www.spherestandards.org/humanitarian-standards/standards-partnership/</w:t>
        </w:r>
      </w:hyperlink>
    </w:p>
  </w:footnote>
  <w:footnote w:id="2">
    <w:p w14:paraId="4F78AEA5" w14:textId="53149F81" w:rsidR="004D7CDA" w:rsidRDefault="004D7CD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anchor="ch002_002_001_002" w:history="1">
        <w:r w:rsidR="0041370C" w:rsidRPr="00ED52B4">
          <w:rPr>
            <w:rStyle w:val="Hyperlink"/>
          </w:rPr>
          <w:t>https://handbook.hspstandards.org/en/sphere/#ch002_002_001_002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613"/>
    <w:multiLevelType w:val="multilevel"/>
    <w:tmpl w:val="D1AA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B1B70"/>
    <w:multiLevelType w:val="hybridMultilevel"/>
    <w:tmpl w:val="78806D1A"/>
    <w:lvl w:ilvl="0" w:tplc="578C14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115315"/>
    <w:multiLevelType w:val="hybridMultilevel"/>
    <w:tmpl w:val="28FCA802"/>
    <w:lvl w:ilvl="0" w:tplc="87BE07A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2CFB"/>
    <w:multiLevelType w:val="hybridMultilevel"/>
    <w:tmpl w:val="CB04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117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7741E9"/>
    <w:multiLevelType w:val="hybridMultilevel"/>
    <w:tmpl w:val="AFFE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B0396"/>
    <w:multiLevelType w:val="hybridMultilevel"/>
    <w:tmpl w:val="67442682"/>
    <w:lvl w:ilvl="0" w:tplc="B142B3A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47AC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B2F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3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E7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09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78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08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086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B7D23"/>
    <w:multiLevelType w:val="multilevel"/>
    <w:tmpl w:val="1264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9206B"/>
    <w:multiLevelType w:val="hybridMultilevel"/>
    <w:tmpl w:val="2A2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48D3"/>
    <w:multiLevelType w:val="multilevel"/>
    <w:tmpl w:val="34D05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74DDD"/>
    <w:multiLevelType w:val="multilevel"/>
    <w:tmpl w:val="D21A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111F01"/>
    <w:multiLevelType w:val="hybridMultilevel"/>
    <w:tmpl w:val="2CE84F16"/>
    <w:lvl w:ilvl="0" w:tplc="7F96027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E41320"/>
    <w:multiLevelType w:val="hybridMultilevel"/>
    <w:tmpl w:val="C5362418"/>
    <w:lvl w:ilvl="0" w:tplc="D00033E0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57E3E8C"/>
    <w:multiLevelType w:val="multilevel"/>
    <w:tmpl w:val="5D609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354FCC"/>
    <w:multiLevelType w:val="hybridMultilevel"/>
    <w:tmpl w:val="34FC386E"/>
    <w:lvl w:ilvl="0" w:tplc="2BB64E3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F2A58"/>
    <w:multiLevelType w:val="hybridMultilevel"/>
    <w:tmpl w:val="003C4A8A"/>
    <w:lvl w:ilvl="0" w:tplc="2710F364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950C9B"/>
    <w:multiLevelType w:val="multilevel"/>
    <w:tmpl w:val="78CC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E0817"/>
    <w:multiLevelType w:val="hybridMultilevel"/>
    <w:tmpl w:val="298C4562"/>
    <w:lvl w:ilvl="0" w:tplc="212E2A48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659C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8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8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2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6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200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4D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652CA"/>
    <w:multiLevelType w:val="hybridMultilevel"/>
    <w:tmpl w:val="B2C4B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E4A7EA">
      <w:start w:val="1"/>
      <w:numFmt w:val="lowerLetter"/>
      <w:lvlText w:val="%2."/>
      <w:lvlJc w:val="left"/>
      <w:pPr>
        <w:ind w:left="220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407B4"/>
    <w:multiLevelType w:val="hybridMultilevel"/>
    <w:tmpl w:val="82102600"/>
    <w:lvl w:ilvl="0" w:tplc="D00033E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F3E4C"/>
    <w:multiLevelType w:val="hybridMultilevel"/>
    <w:tmpl w:val="3456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69A"/>
    <w:multiLevelType w:val="hybridMultilevel"/>
    <w:tmpl w:val="68CE3968"/>
    <w:lvl w:ilvl="0" w:tplc="53C2A242">
      <w:numFmt w:val="bullet"/>
      <w:lvlText w:val="-"/>
      <w:lvlJc w:val="left"/>
      <w:pPr>
        <w:ind w:left="114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A0FB7"/>
    <w:multiLevelType w:val="multilevel"/>
    <w:tmpl w:val="22A4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354025"/>
    <w:multiLevelType w:val="hybridMultilevel"/>
    <w:tmpl w:val="350A2478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2"/>
  </w:num>
  <w:num w:numId="4">
    <w:abstractNumId w:val="15"/>
  </w:num>
  <w:num w:numId="5">
    <w:abstractNumId w:val="4"/>
  </w:num>
  <w:num w:numId="6">
    <w:abstractNumId w:val="19"/>
  </w:num>
  <w:num w:numId="7">
    <w:abstractNumId w:val="0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lowerRoman"/>
        <w:lvlText w:val="%1."/>
        <w:lvlJc w:val="right"/>
      </w:lvl>
    </w:lvlOverride>
  </w:num>
  <w:num w:numId="11">
    <w:abstractNumId w:val="11"/>
  </w:num>
  <w:num w:numId="12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3">
    <w:abstractNumId w:val="11"/>
    <w:lvlOverride w:ilvl="0">
      <w:lvl w:ilvl="0" w:tplc="7F96027C">
        <w:numFmt w:val="lowerRoman"/>
        <w:lvlText w:val="%1."/>
        <w:lvlJc w:val="right"/>
      </w:lvl>
    </w:lvlOverride>
    <w:lvlOverride w:ilvl="1">
      <w:lvl w:ilvl="1" w:tplc="CD76A5D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020831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0641EC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A1A7E1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18EC3C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062E8B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92C9C6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FB2A2A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lowerLetter"/>
        <w:lvlText w:val="%1."/>
        <w:lvlJc w:val="left"/>
      </w:lvl>
    </w:lvlOverride>
  </w:num>
  <w:num w:numId="17">
    <w:abstractNumId w:val="6"/>
  </w:num>
  <w:num w:numId="18">
    <w:abstractNumId w:val="10"/>
    <w:lvlOverride w:ilvl="0">
      <w:lvl w:ilvl="0">
        <w:numFmt w:val="lowerRoman"/>
        <w:lvlText w:val="%1."/>
        <w:lvlJc w:val="right"/>
      </w:lvl>
    </w:lvlOverride>
  </w:num>
  <w:num w:numId="19">
    <w:abstractNumId w:val="17"/>
  </w:num>
  <w:num w:numId="20">
    <w:abstractNumId w:val="3"/>
  </w:num>
  <w:num w:numId="21">
    <w:abstractNumId w:val="8"/>
  </w:num>
  <w:num w:numId="22">
    <w:abstractNumId w:val="23"/>
  </w:num>
  <w:num w:numId="23">
    <w:abstractNumId w:val="5"/>
  </w:num>
  <w:num w:numId="24">
    <w:abstractNumId w:val="2"/>
  </w:num>
  <w:num w:numId="25">
    <w:abstractNumId w:val="14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9A2"/>
    <w:rsid w:val="00017C37"/>
    <w:rsid w:val="00020A92"/>
    <w:rsid w:val="00040566"/>
    <w:rsid w:val="0004408D"/>
    <w:rsid w:val="000736D0"/>
    <w:rsid w:val="00094D59"/>
    <w:rsid w:val="000A4A3D"/>
    <w:rsid w:val="000D6A5C"/>
    <w:rsid w:val="00112545"/>
    <w:rsid w:val="00122934"/>
    <w:rsid w:val="00183EFA"/>
    <w:rsid w:val="00184A33"/>
    <w:rsid w:val="00192467"/>
    <w:rsid w:val="001A14F7"/>
    <w:rsid w:val="001A30F1"/>
    <w:rsid w:val="001B4956"/>
    <w:rsid w:val="001F19F8"/>
    <w:rsid w:val="001F6C9E"/>
    <w:rsid w:val="002334F0"/>
    <w:rsid w:val="00254791"/>
    <w:rsid w:val="00274B0F"/>
    <w:rsid w:val="002807E8"/>
    <w:rsid w:val="00282240"/>
    <w:rsid w:val="002A4976"/>
    <w:rsid w:val="002B1A2B"/>
    <w:rsid w:val="002E1A9D"/>
    <w:rsid w:val="002F1FC2"/>
    <w:rsid w:val="00312E43"/>
    <w:rsid w:val="00330B95"/>
    <w:rsid w:val="00341BBD"/>
    <w:rsid w:val="003740E3"/>
    <w:rsid w:val="003B4E97"/>
    <w:rsid w:val="003C4FE3"/>
    <w:rsid w:val="003D317C"/>
    <w:rsid w:val="003D5C0E"/>
    <w:rsid w:val="003E1B82"/>
    <w:rsid w:val="0040078F"/>
    <w:rsid w:val="0041370C"/>
    <w:rsid w:val="0043669C"/>
    <w:rsid w:val="0045569C"/>
    <w:rsid w:val="00455D58"/>
    <w:rsid w:val="004822C3"/>
    <w:rsid w:val="004924BE"/>
    <w:rsid w:val="004A0528"/>
    <w:rsid w:val="004D7CDA"/>
    <w:rsid w:val="004E35C4"/>
    <w:rsid w:val="0050467C"/>
    <w:rsid w:val="00512F06"/>
    <w:rsid w:val="00513C5E"/>
    <w:rsid w:val="005738F8"/>
    <w:rsid w:val="005917C3"/>
    <w:rsid w:val="00594D8C"/>
    <w:rsid w:val="005A38EB"/>
    <w:rsid w:val="005C22CC"/>
    <w:rsid w:val="005C42B2"/>
    <w:rsid w:val="005D138E"/>
    <w:rsid w:val="005E690D"/>
    <w:rsid w:val="005F0FEB"/>
    <w:rsid w:val="0063792F"/>
    <w:rsid w:val="006570ED"/>
    <w:rsid w:val="006C268F"/>
    <w:rsid w:val="00700074"/>
    <w:rsid w:val="007101EF"/>
    <w:rsid w:val="00715800"/>
    <w:rsid w:val="00794810"/>
    <w:rsid w:val="007B1E74"/>
    <w:rsid w:val="007B3CCB"/>
    <w:rsid w:val="007C4409"/>
    <w:rsid w:val="007E76D4"/>
    <w:rsid w:val="00806644"/>
    <w:rsid w:val="0081407D"/>
    <w:rsid w:val="00822B07"/>
    <w:rsid w:val="00856908"/>
    <w:rsid w:val="008633AC"/>
    <w:rsid w:val="0086650C"/>
    <w:rsid w:val="00875F67"/>
    <w:rsid w:val="008A24EE"/>
    <w:rsid w:val="008C24E5"/>
    <w:rsid w:val="008F11D0"/>
    <w:rsid w:val="00906DF6"/>
    <w:rsid w:val="00912412"/>
    <w:rsid w:val="00940634"/>
    <w:rsid w:val="00950647"/>
    <w:rsid w:val="00970B41"/>
    <w:rsid w:val="00971028"/>
    <w:rsid w:val="00972D4F"/>
    <w:rsid w:val="00973FF3"/>
    <w:rsid w:val="00973FF6"/>
    <w:rsid w:val="0097693B"/>
    <w:rsid w:val="009A59A2"/>
    <w:rsid w:val="009A6FF9"/>
    <w:rsid w:val="009C6BE0"/>
    <w:rsid w:val="009D77C4"/>
    <w:rsid w:val="009D7E30"/>
    <w:rsid w:val="009E77BD"/>
    <w:rsid w:val="009F367C"/>
    <w:rsid w:val="00A0760C"/>
    <w:rsid w:val="00A15D04"/>
    <w:rsid w:val="00A31260"/>
    <w:rsid w:val="00A35680"/>
    <w:rsid w:val="00A36C35"/>
    <w:rsid w:val="00AB026F"/>
    <w:rsid w:val="00AC1AD5"/>
    <w:rsid w:val="00AC711A"/>
    <w:rsid w:val="00AC7605"/>
    <w:rsid w:val="00AD1AF5"/>
    <w:rsid w:val="00B2067B"/>
    <w:rsid w:val="00B24FB8"/>
    <w:rsid w:val="00B31B77"/>
    <w:rsid w:val="00B40497"/>
    <w:rsid w:val="00B431B2"/>
    <w:rsid w:val="00B878A2"/>
    <w:rsid w:val="00B97D5F"/>
    <w:rsid w:val="00BB026D"/>
    <w:rsid w:val="00BC439C"/>
    <w:rsid w:val="00BD04B3"/>
    <w:rsid w:val="00BE1B22"/>
    <w:rsid w:val="00C04196"/>
    <w:rsid w:val="00C50CF1"/>
    <w:rsid w:val="00C667E4"/>
    <w:rsid w:val="00CA7A5F"/>
    <w:rsid w:val="00CD2616"/>
    <w:rsid w:val="00CD3909"/>
    <w:rsid w:val="00CD71DB"/>
    <w:rsid w:val="00CE0BD1"/>
    <w:rsid w:val="00CE303F"/>
    <w:rsid w:val="00D10177"/>
    <w:rsid w:val="00D24993"/>
    <w:rsid w:val="00D51623"/>
    <w:rsid w:val="00D517BB"/>
    <w:rsid w:val="00D77784"/>
    <w:rsid w:val="00DA0C90"/>
    <w:rsid w:val="00DA17CF"/>
    <w:rsid w:val="00DA2E67"/>
    <w:rsid w:val="00DA53BE"/>
    <w:rsid w:val="00DD222B"/>
    <w:rsid w:val="00E052AA"/>
    <w:rsid w:val="00E46B8A"/>
    <w:rsid w:val="00E6000F"/>
    <w:rsid w:val="00ED52B4"/>
    <w:rsid w:val="00EE34B2"/>
    <w:rsid w:val="00EF5FC4"/>
    <w:rsid w:val="00F06C0B"/>
    <w:rsid w:val="00F16026"/>
    <w:rsid w:val="00F30A17"/>
    <w:rsid w:val="00F7553B"/>
    <w:rsid w:val="00F771BA"/>
    <w:rsid w:val="00F86F96"/>
    <w:rsid w:val="00FA00B0"/>
    <w:rsid w:val="00FC3BA3"/>
    <w:rsid w:val="00FD6F52"/>
    <w:rsid w:val="00FE5399"/>
    <w:rsid w:val="00FE5AAF"/>
    <w:rsid w:val="00FE754C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3E19"/>
  <w15:chartTrackingRefBased/>
  <w15:docId w15:val="{0E75E767-DA4B-43C6-8272-682A974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C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-8455159250973336675msolistparagraph">
    <w:name w:val="gmail-m_-8455159250973336675msolistparagraph"/>
    <w:basedOn w:val="Normal"/>
    <w:rsid w:val="005C22C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2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56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0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0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B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31B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7C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7CD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7CDA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ED5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2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andbook.hspstandards.org/en/spher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pherestandards.org/humanitarian-standards/standards-partnership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handbook.hspstandards.org/en/sphere/" TargetMode="External"/><Relationship Id="rId1" Type="http://schemas.openxmlformats.org/officeDocument/2006/relationships/hyperlink" Target="https://www.spherestandards.org/humanitarian-standards/standards-partnershi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7C5DBDB3-D36C-43A1-B0B2-E724D2555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9860B-7774-4900-BAAC-608AC9CC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63741-95CA-4495-B3FC-A3F1A70D5FB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13</cp:revision>
  <dcterms:created xsi:type="dcterms:W3CDTF">2021-10-12T13:35:00Z</dcterms:created>
  <dcterms:modified xsi:type="dcterms:W3CDTF">2021-10-13T07:47:00Z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