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A1D9F" w:rsidR="319DFF37" w:rsidP="71C9EC51" w:rsidRDefault="20EC0DD7" w14:paraId="2A15E96C" w14:textId="0C714F08">
      <w:pPr>
        <w:pStyle w:val="Titre1"/>
        <w:rPr>
          <w:rFonts w:ascii="Calibri Light" w:hAnsi="Calibri Light" w:eastAsia="Yu Gothic Light" w:cs="Times New Roman"/>
          <w:b/>
          <w:bCs/>
          <w:u w:val="single"/>
        </w:rPr>
      </w:pPr>
      <w:r>
        <w:rPr>
          <w:lang w:val="fr"/>
        </w:rPr>
        <w:t xml:space="preserve">QUIZ : Quel est votre niveau de connaissance du secteur humanitaire ? </w:t>
      </w:r>
    </w:p>
    <w:p w:rsidRPr="007A4F8B" w:rsidR="00F37A14" w:rsidP="7A22F295" w:rsidRDefault="00F37A14" w14:paraId="03242AE8" w14:textId="77777777">
      <w:pPr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</w:p>
    <w:p w:rsidRPr="004012D9" w:rsidR="004012D9" w:rsidP="2EE00ACA" w:rsidRDefault="00DB4996" w14:paraId="67F93112" w14:textId="26F487F2">
      <w:pPr>
        <w:pStyle w:val="Paragraphedeliste"/>
        <w:numPr>
          <w:ilvl w:val="0"/>
          <w:numId w:val="4"/>
        </w:numPr>
        <w:spacing w:before="80" w:after="80" w:line="240" w:lineRule="auto"/>
        <w:rPr>
          <w:rFonts w:eastAsiaTheme="minorEastAsia"/>
          <w:b/>
          <w:bCs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D’après les projections du Bureau de la coordination des affaires humanitaires des Nations Unies (</w:t>
      </w:r>
      <w:r>
        <w:rPr>
          <w:rFonts w:ascii="Open Sans" w:hAnsi="Open Sans" w:eastAsia="Times New Roman" w:cs="Open Sans"/>
          <w:b/>
          <w:bCs/>
          <w:lang w:val="fr"/>
        </w:rPr>
        <w:t>OCHA</w:t>
      </w: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), combien de personnes dans le monde auront besoin d’assistance humanitaire en 2022 ?</w:t>
      </w:r>
    </w:p>
    <w:p w:rsidRPr="007A4F8B" w:rsidR="001A2FAD" w:rsidP="00AF5455" w:rsidRDefault="00AF5455" w14:paraId="5E2B2F7E" w14:textId="776E206E">
      <w:pPr>
        <w:pStyle w:val="Paragraphedeliste"/>
        <w:numPr>
          <w:ilvl w:val="0"/>
          <w:numId w:val="1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212 millions</w:t>
      </w:r>
    </w:p>
    <w:p w:rsidRPr="007A4F8B" w:rsidR="00AF5455" w:rsidP="00AF5455" w:rsidRDefault="0080632A" w14:paraId="47AA300B" w14:textId="79360D00">
      <w:pPr>
        <w:pStyle w:val="Paragraphedeliste"/>
        <w:numPr>
          <w:ilvl w:val="0"/>
          <w:numId w:val="1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136 millions</w:t>
      </w:r>
    </w:p>
    <w:p w:rsidR="0080632A" w:rsidP="00AF5455" w:rsidRDefault="0080632A" w14:paraId="21D6FD39" w14:textId="5FFC4083">
      <w:pPr>
        <w:pStyle w:val="Paragraphedeliste"/>
        <w:numPr>
          <w:ilvl w:val="0"/>
          <w:numId w:val="1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90 millions</w:t>
      </w:r>
    </w:p>
    <w:p w:rsidR="00C544F4" w:rsidP="00C50CF8" w:rsidRDefault="00C544F4" w14:paraId="76E4EE6E" w14:textId="77777777">
      <w:pPr>
        <w:pStyle w:val="Paragraphedeliste"/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</w:p>
    <w:p w:rsidRPr="00D52719" w:rsidR="00C50CF8" w:rsidP="00C50CF8" w:rsidRDefault="60DC54F3" w14:paraId="5F07DECE" w14:textId="36AF1C7E">
      <w:pPr>
        <w:pStyle w:val="Paragraphedeliste"/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Réponse : A. 212 millions</w:t>
      </w:r>
    </w:p>
    <w:p w:rsidR="00C50CF8" w:rsidP="00C50CF8" w:rsidRDefault="00C50CF8" w14:paraId="0A11EEFB" w14:textId="77777777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</w:p>
    <w:p w:rsidR="004012D9" w:rsidP="00C50CF8" w:rsidRDefault="00D52719" w14:paraId="6F5B5D34" w14:textId="4F8F2762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Remarques :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 136 millions était le nombre en 2018, et 90 millions celui de 2015.</w:t>
      </w:r>
    </w:p>
    <w:p w:rsidR="00C50CF8" w:rsidP="00C50CF8" w:rsidRDefault="00C50CF8" w14:paraId="2E0DF0ED" w14:textId="77777777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</w:p>
    <w:p w:rsidR="00C50CF8" w:rsidP="00C50CF8" w:rsidRDefault="00C50CF8" w14:paraId="2A959A2D" w14:textId="3E3DC65F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noProof/>
          <w:lang w:val="fr"/>
        </w:rPr>
        <w:drawing>
          <wp:inline distT="0" distB="0" distL="0" distR="0" wp14:anchorId="62EFF98F" wp14:editId="3B848429">
            <wp:extent cx="4724400" cy="2981325"/>
            <wp:effectExtent l="19050" t="19050" r="19050" b="28575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981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012D9" w:rsidP="004012D9" w:rsidRDefault="004012D9" w14:paraId="4CEBB10D" w14:textId="77777777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</w:p>
    <w:p w:rsidR="0080632A" w:rsidP="00D52719" w:rsidRDefault="00C50CF8" w14:paraId="6860A1DC" w14:textId="4611A035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Les principaux moteurs d’augmentation des besoins humanitaires sont les conflits et les changements climatiques. Consultez le rapport de l’OCHA pour développer ce point ou zoomer sur un pays spécifique.</w:t>
      </w:r>
    </w:p>
    <w:p w:rsidR="00C544F4" w:rsidP="00D52719" w:rsidRDefault="00C544F4" w14:paraId="40B7F445" w14:textId="77777777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</w:p>
    <w:p w:rsidR="00C544F4" w:rsidP="00C544F4" w:rsidRDefault="00C544F4" w14:paraId="12B9C61F" w14:textId="6050023E">
      <w:pPr>
        <w:pStyle w:val="Paragraphedeliste"/>
        <w:spacing w:before="80" w:after="80" w:line="240" w:lineRule="auto"/>
      </w:pPr>
      <w:r>
        <w:rPr>
          <w:rFonts w:ascii="Open Sans" w:hAnsi="Open Sans"/>
          <w:b/>
          <w:bCs/>
          <w:color w:val="000000" w:themeColor="text1"/>
          <w:lang w:val="fr"/>
        </w:rPr>
        <w:t>Source :</w:t>
      </w:r>
      <w:r>
        <w:rPr>
          <w:rFonts w:ascii="Open Sans" w:hAnsi="Open Sans"/>
          <w:color w:val="000000" w:themeColor="text1"/>
          <w:lang w:val="fr"/>
        </w:rPr>
        <w:br/>
      </w:r>
      <w:r w:rsidR="00F75DA6">
        <w:rPr>
          <w:rFonts w:ascii="Open Sans" w:hAnsi="Open Sans"/>
          <w:i/>
          <w:iCs/>
          <w:color w:val="000000" w:themeColor="text1"/>
          <w:lang w:val="fr"/>
        </w:rPr>
        <w:t>Aperçu de la situation humanitaire mondiale</w:t>
      </w:r>
      <w:r>
        <w:rPr>
          <w:rFonts w:ascii="Open Sans" w:hAnsi="Open Sans"/>
          <w:color w:val="000000" w:themeColor="text1"/>
          <w:lang w:val="fr"/>
        </w:rPr>
        <w:t>, OCHA, 2019</w:t>
      </w:r>
      <w:r>
        <w:rPr>
          <w:rFonts w:ascii="Open Sans" w:hAnsi="Open Sans"/>
          <w:lang w:val="fr"/>
        </w:rPr>
        <w:br/>
      </w:r>
      <w:r>
        <w:rPr>
          <w:rFonts w:ascii="Open Sans" w:hAnsi="Open Sans"/>
          <w:color w:val="000000" w:themeColor="text1"/>
          <w:lang w:val="fr"/>
        </w:rPr>
        <w:t>Téléchargeable en français, en anglais et en arabe depuis l’adresse :</w:t>
      </w:r>
    </w:p>
    <w:p w:rsidRPr="00D52719" w:rsidR="00C544F4" w:rsidP="00C544F4" w:rsidRDefault="00C544F4" w14:paraId="7BF23BDF" w14:textId="77777777">
      <w:pPr>
        <w:pStyle w:val="Paragraphedeliste"/>
        <w:spacing w:before="80" w:after="80" w:line="240" w:lineRule="auto"/>
        <w:rPr>
          <w:rStyle w:val="Lienhypertexte"/>
          <w:rFonts w:ascii="Open Sans" w:hAnsi="Open Sans" w:eastAsia="Times New Roman" w:cs="Open Sans"/>
        </w:rPr>
      </w:pPr>
      <w:r>
        <w:rPr>
          <w:rFonts w:ascii="Open Sans" w:hAnsi="Open Sans" w:eastAsia="Times New Roman" w:cs="Open Sans"/>
          <w:lang w:val="fr"/>
        </w:rPr>
        <w:fldChar w:fldCharType="begin"/>
      </w:r>
      <w:r>
        <w:rPr>
          <w:rFonts w:ascii="Open Sans" w:hAnsi="Open Sans" w:eastAsia="Times New Roman" w:cs="Open Sans"/>
          <w:lang w:val="fr"/>
        </w:rPr>
        <w:instrText xml:space="preserve"> HYPERLINK "https://reliefweb.int/report/world/global-humanitarian-overview-2020-enarfrzh" </w:instrText>
      </w:r>
      <w:r>
        <w:rPr>
          <w:rFonts w:ascii="Open Sans" w:hAnsi="Open Sans" w:eastAsia="Times New Roman" w:cs="Open Sans"/>
          <w:lang w:val="fr"/>
        </w:rPr>
        <w:fldChar w:fldCharType="separate"/>
      </w:r>
      <w:r>
        <w:rPr>
          <w:rStyle w:val="Lienhypertexte"/>
          <w:rFonts w:ascii="Open Sans" w:hAnsi="Open Sans" w:eastAsia="Times New Roman" w:cs="Open Sans"/>
          <w:lang w:val="fr"/>
        </w:rPr>
        <w:t>https://reliefweb.int/report/world/glo</w:t>
      </w:r>
      <w:r>
        <w:rPr>
          <w:rStyle w:val="Lienhypertexte"/>
          <w:rFonts w:ascii="Open Sans" w:hAnsi="Open Sans" w:eastAsia="Times New Roman" w:cs="Open Sans"/>
          <w:lang w:val="fr"/>
        </w:rPr>
        <w:t>b</w:t>
      </w:r>
      <w:r>
        <w:rPr>
          <w:rStyle w:val="Lienhypertexte"/>
          <w:rFonts w:ascii="Open Sans" w:hAnsi="Open Sans" w:eastAsia="Times New Roman" w:cs="Open Sans"/>
          <w:lang w:val="fr"/>
        </w:rPr>
        <w:t>al-humanitarian-overview-2020-enarfrzh</w:t>
      </w:r>
    </w:p>
    <w:p w:rsidR="00C50CF8" w:rsidP="00F75DA6" w:rsidRDefault="00C544F4" w14:paraId="7E62B398" w14:textId="1B8ADD63">
      <w:pPr>
        <w:pStyle w:val="Paragraphedeliste"/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  <w:r>
        <w:rPr>
          <w:rFonts w:ascii="Open Sans" w:hAnsi="Open Sans" w:eastAsia="Times New Roman" w:cs="Open Sans"/>
          <w:lang w:val="fr"/>
        </w:rPr>
        <w:fldChar w:fldCharType="end"/>
      </w:r>
      <w:r w:rsidR="00C50CF8">
        <w:rPr>
          <w:rFonts w:ascii="Open Sans" w:hAnsi="Open Sans" w:eastAsia="Times New Roman" w:cs="Open Sans"/>
          <w:b/>
          <w:bCs/>
          <w:color w:val="000000" w:themeColor="text1"/>
          <w:lang w:val="fr"/>
        </w:rPr>
        <w:br w:type="page"/>
      </w:r>
    </w:p>
    <w:p w:rsidRPr="007A4F8B" w:rsidR="003C69CF" w:rsidP="003C69CF" w:rsidRDefault="003C69CF" w14:paraId="2BF87243" w14:textId="0768A633">
      <w:pPr>
        <w:pStyle w:val="Paragraphedeliste"/>
        <w:numPr>
          <w:ilvl w:val="0"/>
          <w:numId w:val="4"/>
        </w:numPr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lastRenderedPageBreak/>
        <w:t>Selon ce même rapport, quel était le montant de financement nécessaire (en $US) en 2019 afin de cibler toutes les personnes dans le besoin dans le monde ?</w:t>
      </w:r>
    </w:p>
    <w:p w:rsidRPr="007A4F8B" w:rsidR="001660AB" w:rsidP="001B0615" w:rsidRDefault="007B6ACF" w14:paraId="56F789EB" w14:textId="2BA7316A">
      <w:pPr>
        <w:pStyle w:val="Paragraphedeliste"/>
        <w:numPr>
          <w:ilvl w:val="0"/>
          <w:numId w:val="5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29,7 milliards $</w:t>
      </w:r>
    </w:p>
    <w:p w:rsidRPr="007A4F8B" w:rsidR="007B6ACF" w:rsidP="001B0615" w:rsidRDefault="007B6ACF" w14:paraId="09AE72CA" w14:textId="35DAF2F3">
      <w:pPr>
        <w:pStyle w:val="Paragraphedeliste"/>
        <w:numPr>
          <w:ilvl w:val="0"/>
          <w:numId w:val="5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15,96 milliards $</w:t>
      </w:r>
    </w:p>
    <w:p w:rsidRPr="007A4F8B" w:rsidR="00F0748A" w:rsidP="001B0615" w:rsidRDefault="00B16D8D" w14:paraId="7C5AAC18" w14:textId="066EA917">
      <w:pPr>
        <w:pStyle w:val="Paragraphedeliste"/>
        <w:numPr>
          <w:ilvl w:val="0"/>
          <w:numId w:val="5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732,6 millions $</w:t>
      </w:r>
    </w:p>
    <w:p w:rsidRPr="007A4F8B" w:rsidR="00D819F3" w:rsidP="00D819F3" w:rsidRDefault="00D819F3" w14:paraId="505ECBED" w14:textId="77777777">
      <w:pPr>
        <w:pStyle w:val="Paragraphedeliste"/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</w:p>
    <w:p w:rsidR="00C174CD" w:rsidP="00C174CD" w:rsidRDefault="0A227C3A" w14:paraId="33FF6873" w14:textId="4B807444">
      <w:pPr>
        <w:spacing w:before="80" w:after="80" w:line="240" w:lineRule="auto"/>
        <w:ind w:left="720"/>
        <w:rPr>
          <w:rFonts w:ascii="Open Sans" w:hAnsi="Open Sans" w:eastAsia="Times New Roman" w:cs="Open Sans"/>
          <w:b/>
          <w:bCs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Réponse : A. 29,7 milliards $</w:t>
      </w:r>
    </w:p>
    <w:p w:rsidRPr="004F4DC3" w:rsidR="004F4DC3" w:rsidP="00C174CD" w:rsidRDefault="004F4DC3" w14:paraId="08EB4B9E" w14:textId="77777777">
      <w:pPr>
        <w:spacing w:before="80" w:after="80" w:line="240" w:lineRule="auto"/>
        <w:ind w:left="720"/>
        <w:rPr>
          <w:rFonts w:ascii="Open Sans" w:hAnsi="Open Sans" w:eastAsia="Times New Roman" w:cs="Open Sans"/>
          <w:b/>
          <w:bCs/>
          <w:color w:val="000000" w:themeColor="text1"/>
        </w:rPr>
      </w:pPr>
    </w:p>
    <w:p w:rsidR="1A3D82FA" w:rsidP="004F4DC3" w:rsidRDefault="004F4DC3" w14:paraId="6567F2C7" w14:textId="27FE3835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Remarques :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 15,96 milliards $ est le montant effectivement reçu, qui a </w:t>
      </w:r>
      <w:r w:rsidR="009F2EFA">
        <w:rPr>
          <w:rFonts w:ascii="Open Sans" w:hAnsi="Open Sans" w:eastAsia="Times New Roman" w:cs="Open Sans"/>
          <w:color w:val="000000" w:themeColor="text1"/>
          <w:lang w:val="fr"/>
        </w:rPr>
        <w:t xml:space="preserve">donc 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couvert 54 % des financements nécessaires. De ce fait, 117,4 millions de personnes, sur les 166,5 millions dans le besoin (71 %), ont </w:t>
      </w:r>
      <w:r w:rsidR="009F2EFA">
        <w:rPr>
          <w:rFonts w:ascii="Open Sans" w:hAnsi="Open Sans" w:eastAsia="Times New Roman" w:cs="Open Sans"/>
          <w:color w:val="000000" w:themeColor="text1"/>
          <w:lang w:val="fr"/>
        </w:rPr>
        <w:t>pu être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 ciblées. 732,6 millions $ était le montant nécessaire pour le seul Afghanistan* en 2019.</w:t>
      </w:r>
    </w:p>
    <w:p w:rsidR="004F4DC3" w:rsidP="004F4DC3" w:rsidRDefault="004F4DC3" w14:paraId="79FDEA70" w14:textId="77777777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</w:p>
    <w:p w:rsidR="004F4DC3" w:rsidP="004F4DC3" w:rsidRDefault="004F4DC3" w14:paraId="52C70FE1" w14:textId="7C0007BE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*Envisagez de remplacer la réponse C et l’Afghanistan avec le principal pays d’intérêt pour vos participant-es.</w:t>
      </w:r>
    </w:p>
    <w:p w:rsidR="00577E82" w:rsidP="00C174CD" w:rsidRDefault="00577E82" w14:paraId="2408383C" w14:textId="77777777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</w:p>
    <w:p w:rsidRPr="00C174CD" w:rsidR="00D819F3" w:rsidRDefault="00F25FF9" w14:paraId="557D6169" w14:textId="57E7CAE4">
      <w:pPr>
        <w:spacing w:before="80" w:after="80" w:line="240" w:lineRule="auto"/>
        <w:ind w:left="720"/>
        <w:rPr>
          <w:rFonts w:ascii="Open Sans" w:hAnsi="Open Sans" w:eastAsia="Times New Roman" w:cs="Open Sans"/>
          <w:b/>
          <w:bCs/>
          <w:color w:val="000000" w:themeColor="text1"/>
        </w:rPr>
      </w:pPr>
      <w:r>
        <w:rPr>
          <w:rFonts w:ascii="Open Sans" w:hAnsi="Open Sans"/>
          <w:color w:val="000000" w:themeColor="text1"/>
          <w:lang w:val="fr"/>
        </w:rPr>
        <w:t xml:space="preserve"> </w:t>
      </w:r>
      <w:r>
        <w:rPr>
          <w:rFonts w:ascii="Open Sans" w:hAnsi="Open Sans"/>
          <w:noProof/>
          <w:lang w:val="fr"/>
        </w:rPr>
        <w:drawing>
          <wp:inline distT="0" distB="0" distL="0" distR="0" wp14:anchorId="2669D9E5" wp14:editId="4F1AC0BF">
            <wp:extent cx="1343660" cy="3804285"/>
            <wp:effectExtent l="19050" t="19050" r="27940" b="24765"/>
            <wp:docPr id="1662784344" name="Picture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38042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7A22F295" w:rsidP="7A22F295" w:rsidRDefault="7A22F295" w14:paraId="3A1F52EC" w14:textId="2AE22FC2">
      <w:pPr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</w:p>
    <w:p w:rsidRPr="007A4F8B" w:rsidR="005A58DA" w:rsidP="7A22F295" w:rsidRDefault="005A58DA" w14:paraId="24DD5CD5" w14:textId="77777777">
      <w:pPr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</w:rPr>
      </w:pPr>
    </w:p>
    <w:p w:rsidR="002F69E6" w:rsidRDefault="002F69E6" w14:paraId="3D4B2FE6" w14:textId="77777777">
      <w:pPr>
        <w:rPr>
          <w:rFonts w:ascii="Open Sans" w:hAnsi="Open Sans" w:eastAsia="Times New Roman" w:cs="Open Sans"/>
          <w:b/>
          <w:bCs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br w:type="page"/>
      </w:r>
    </w:p>
    <w:p w:rsidRPr="007A4F8B" w:rsidR="00C3354B" w:rsidP="00C3354B" w:rsidRDefault="005A58DA" w14:paraId="304204B3" w14:textId="08796BD1">
      <w:pPr>
        <w:pStyle w:val="Paragraphedeliste"/>
        <w:numPr>
          <w:ilvl w:val="0"/>
          <w:numId w:val="4"/>
        </w:numPr>
        <w:spacing w:before="80" w:after="80" w:line="240" w:lineRule="auto"/>
        <w:rPr>
          <w:rFonts w:ascii="Open Sans" w:hAnsi="Open Sans" w:eastAsia="Times New Roman" w:cs="Open Sans"/>
          <w:b/>
          <w:bCs/>
          <w:color w:val="000000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lastRenderedPageBreak/>
        <w:t>Combien y a-t-il de personnels humanitaires de terrain dans le monde ?</w:t>
      </w:r>
    </w:p>
    <w:p w:rsidRPr="007A4F8B" w:rsidR="00C3354B" w:rsidP="002C00C3" w:rsidRDefault="00C3354B" w14:paraId="33BDF9DB" w14:textId="327F28A0">
      <w:pPr>
        <w:pStyle w:val="Paragraphedeliste"/>
        <w:numPr>
          <w:ilvl w:val="0"/>
          <w:numId w:val="9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570 000</w:t>
      </w:r>
    </w:p>
    <w:p w:rsidRPr="007A4F8B" w:rsidR="00C3354B" w:rsidP="002C00C3" w:rsidRDefault="000A1A41" w14:paraId="4C5FCE9E" w14:textId="19658C98">
      <w:pPr>
        <w:pStyle w:val="Paragraphedeliste"/>
        <w:numPr>
          <w:ilvl w:val="0"/>
          <w:numId w:val="9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450 000</w:t>
      </w:r>
    </w:p>
    <w:p w:rsidRPr="007A4F8B" w:rsidR="0083025B" w:rsidP="002C00C3" w:rsidRDefault="0083025B" w14:paraId="0DCB25E3" w14:textId="267840A2">
      <w:pPr>
        <w:pStyle w:val="Paragraphedeliste"/>
        <w:numPr>
          <w:ilvl w:val="0"/>
          <w:numId w:val="9"/>
        </w:num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304 000</w:t>
      </w:r>
    </w:p>
    <w:p w:rsidR="00C71EFB" w:rsidP="005A58DA" w:rsidRDefault="00C71EFB" w14:paraId="1B6C0BD5" w14:textId="77777777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/>
        </w:rPr>
      </w:pPr>
    </w:p>
    <w:p w:rsidRPr="00FE16B8" w:rsidR="00C71EFB" w:rsidP="005A58DA" w:rsidRDefault="35A1D759" w14:paraId="1F25FA0E" w14:textId="626DA706">
      <w:pPr>
        <w:spacing w:before="80" w:after="80" w:line="240" w:lineRule="auto"/>
        <w:ind w:left="720"/>
        <w:rPr>
          <w:rFonts w:ascii="Open Sans" w:hAnsi="Open Sans" w:eastAsia="Times New Roman" w:cs="Open Sans"/>
          <w:b/>
          <w:bCs/>
          <w:color w:val="000000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Réponse : A. 570</w:t>
      </w:r>
      <w:r w:rsidR="009F2EFA"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 </w:t>
      </w: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000</w:t>
      </w:r>
    </w:p>
    <w:p w:rsidR="2EE00ACA" w:rsidP="2EE00ACA" w:rsidRDefault="2EE00ACA" w14:paraId="2A07CDF4" w14:textId="74550B48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</w:p>
    <w:p w:rsidR="00FE16B8" w:rsidRDefault="00FE16B8" w14:paraId="12BB9194" w14:textId="77777777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Remarques :</w:t>
      </w:r>
    </w:p>
    <w:p w:rsidR="711CACBF" w:rsidP="00FE16B8" w:rsidRDefault="2EE00ACA" w14:paraId="221EA5A5" w14:textId="0F959465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Le nombre de 450 000 est celui de 2013, il y a donc eu une croissance de 27 % entre 2013 et 2017.</w:t>
      </w:r>
    </w:p>
    <w:p w:rsidR="4FEAED36" w:rsidP="2EE00ACA" w:rsidRDefault="4FEAED36" w14:paraId="64842EDE" w14:textId="07A9CCEB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304 000 est le nombre total de personnels de terrain d’ONG nationales en 2017, qui correspond à 53 % du total de personnels de terrain. La majeure partie des personnels de terrain sont membres d’ONG locales ou nationales.</w:t>
      </w:r>
    </w:p>
    <w:p w:rsidR="2EE00ACA" w:rsidP="2EE00ACA" w:rsidRDefault="2EE00ACA" w14:paraId="10486D6C" w14:textId="12E7DB71">
      <w:pPr>
        <w:spacing w:before="80" w:after="80" w:line="240" w:lineRule="auto"/>
        <w:ind w:left="720"/>
        <w:rPr>
          <w:rFonts w:ascii="Open Sans" w:hAnsi="Open Sans" w:eastAsia="Times New Roman" w:cs="Open Sans"/>
          <w:color w:val="000000" w:themeColor="text1"/>
        </w:rPr>
      </w:pPr>
    </w:p>
    <w:p w:rsidR="00FE16B8" w:rsidP="00FE16B8" w:rsidRDefault="002F69E6" w14:paraId="303D4184" w14:textId="77777777">
      <w:pPr>
        <w:spacing w:before="80" w:after="80" w:line="240" w:lineRule="auto"/>
        <w:ind w:left="720"/>
        <w:rPr>
          <w:rFonts w:ascii="Open Sans" w:hAnsi="Open Sans" w:eastAsia="Times New Roman" w:cs="Open Sans"/>
          <w:sz w:val="24"/>
          <w:szCs w:val="24"/>
        </w:rPr>
      </w:pPr>
      <w:r>
        <w:rPr>
          <w:rFonts w:ascii="Open Sans" w:hAnsi="Open Sans" w:eastAsia="Times New Roman" w:cs="Open Sans"/>
          <w:b/>
          <w:bCs/>
          <w:sz w:val="24"/>
          <w:szCs w:val="24"/>
          <w:lang w:val="fr"/>
        </w:rPr>
        <w:t>Source :</w:t>
      </w:r>
    </w:p>
    <w:p w:rsidRPr="00FE16B8" w:rsidR="00FE16B8" w:rsidP="00FE16B8" w:rsidRDefault="002F69E6" w14:paraId="113C0671" w14:textId="2F681F8C" w14:noSpellErr="1">
      <w:pPr>
        <w:spacing w:before="80" w:after="80" w:line="240" w:lineRule="auto"/>
        <w:ind w:left="720"/>
        <w:rPr>
          <w:rStyle w:val="Lienhypertexte"/>
          <w:color w:val="auto"/>
          <w:u w:val="none"/>
        </w:rPr>
      </w:pPr>
      <w:r w:rsidRPr="494C152F" w:rsidR="002F69E6">
        <w:rPr>
          <w:rFonts w:ascii="Open Sans" w:hAnsi="Open Sans"/>
          <w:i w:val="1"/>
          <w:iCs w:val="1"/>
          <w:color w:val="000000" w:themeColor="text1" w:themeTint="FF" w:themeShade="FF"/>
          <w:lang w:val="fr"/>
        </w:rPr>
        <w:t>The State of the Humanitarian System (SOHS)</w:t>
      </w:r>
      <w:r w:rsidRPr="494C152F" w:rsidR="002F69E6">
        <w:rPr>
          <w:rFonts w:ascii="Open Sans" w:hAnsi="Open Sans"/>
          <w:color w:val="000000" w:themeColor="text1" w:themeTint="FF" w:themeShade="FF"/>
          <w:lang w:val="fr"/>
        </w:rPr>
        <w:t xml:space="preserve">, ALNAP, </w:t>
      </w:r>
      <w:r w:rsidRPr="494C152F" w:rsidR="002F69E6">
        <w:rPr>
          <w:rFonts w:ascii="Open Sans" w:hAnsi="Open Sans"/>
          <w:b w:val="1"/>
          <w:bCs w:val="1"/>
          <w:color w:val="000000" w:themeColor="text1" w:themeTint="FF" w:themeShade="FF"/>
          <w:lang w:val="fr"/>
        </w:rPr>
        <w:t>2018</w:t>
      </w:r>
      <w:r>
        <w:br/>
      </w:r>
      <w:r w:rsidRPr="494C152F" w:rsidR="002F69E6">
        <w:rPr>
          <w:rFonts w:ascii="Open Sans" w:hAnsi="Open Sans"/>
          <w:color w:val="000000" w:themeColor="text1" w:themeTint="FF" w:themeShade="FF"/>
          <w:lang w:val="fr"/>
        </w:rPr>
        <w:t>Téléchargeable en anglais à cette adresse :</w:t>
      </w:r>
      <w:r>
        <w:br/>
      </w:r>
      <w:r w:rsidRPr="494C152F">
        <w:rPr>
          <w:rFonts w:ascii="Open Sans" w:hAnsi="Open Sans"/>
          <w:lang w:val="fr"/>
        </w:rPr>
        <w:fldChar w:fldCharType="begin"/>
      </w:r>
      <w:r w:rsidRPr="494C152F">
        <w:rPr>
          <w:rFonts w:ascii="Open Sans" w:hAnsi="Open Sans"/>
          <w:lang w:val="fr"/>
        </w:rPr>
        <w:instrText xml:space="preserve"> HYPERLINK "https://www.alnap.org/help-library/the-state-of-the-humanitarian-system-2018-full-report" </w:instrText>
      </w:r>
      <w:r w:rsidRPr="494C152F">
        <w:rPr>
          <w:rFonts w:ascii="Open Sans" w:hAnsi="Open Sans"/>
          <w:lang w:val="fr"/>
        </w:rPr>
        <w:fldChar w:fldCharType="separate"/>
      </w:r>
      <w:r w:rsidRPr="494C152F" w:rsidR="002F69E6">
        <w:rPr>
          <w:rStyle w:val="Lienhypertexte"/>
          <w:rFonts w:ascii="Open Sans" w:hAnsi="Open Sans" w:eastAsia="Times New Roman" w:cs="Open Sans"/>
          <w:lang w:val="fr"/>
        </w:rPr>
        <w:t>https://www.alnap.org/help-library/the-state-of-the-humanitarian-system-2018-full-report</w:t>
      </w:r>
    </w:p>
    <w:p w:rsidR="00FE16B8" w:rsidP="00FE16B8" w:rsidRDefault="00FE16B8" w14:paraId="465DA2D1" w14:textId="21ED99C7">
      <w:pPr>
        <w:spacing w:before="80" w:after="80" w:line="240" w:lineRule="auto"/>
        <w:rPr>
          <w:rFonts w:ascii="Open Sans" w:hAnsi="Open Sans" w:eastAsia="Times New Roman" w:cs="Open Sans"/>
        </w:rPr>
      </w:pPr>
      <w:r>
        <w:rPr>
          <w:rFonts w:ascii="Open Sans" w:hAnsi="Open Sans" w:eastAsia="Times New Roman" w:cs="Open Sans"/>
          <w:lang w:val="fr"/>
        </w:rPr>
        <w:fldChar w:fldCharType="end"/>
      </w:r>
    </w:p>
    <w:p w:rsidR="00064E48" w:rsidP="00FE16B8" w:rsidRDefault="00064E48" w14:paraId="67F5E062" w14:textId="77777777">
      <w:pPr>
        <w:spacing w:before="80" w:after="80" w:line="240" w:lineRule="auto"/>
        <w:rPr>
          <w:rFonts w:ascii="Open Sans" w:hAnsi="Open Sans" w:eastAsia="Times New Roman" w:cs="Open Sans"/>
          <w:color w:val="000000"/>
        </w:rPr>
      </w:pPr>
    </w:p>
    <w:p w:rsidRPr="00064E48" w:rsidR="000E7864" w:rsidP="00064E48" w:rsidRDefault="6FF9D196" w14:paraId="13E93F9E" w14:textId="65FBED0D">
      <w:pPr>
        <w:spacing w:before="80" w:after="80" w:line="240" w:lineRule="auto"/>
        <w:rPr>
          <w:rFonts w:ascii="Open Sans" w:hAnsi="Open Sans" w:eastAsia="Times New Roman" w:cs="Open Sans"/>
          <w:b/>
          <w:bCs/>
          <w:color w:val="000000" w:themeColor="text1"/>
          <w:u w:val="single"/>
        </w:rPr>
      </w:pPr>
      <w:r>
        <w:rPr>
          <w:rFonts w:ascii="Open Sans" w:hAnsi="Open Sans" w:eastAsia="Times New Roman" w:cs="Open Sans"/>
          <w:b/>
          <w:bCs/>
          <w:color w:val="000000" w:themeColor="text1"/>
          <w:u w:val="single"/>
          <w:lang w:val="fr"/>
        </w:rPr>
        <w:t>Notes pour le débriefing de fin de quiz :</w:t>
      </w:r>
    </w:p>
    <w:p w:rsidR="00122463" w:rsidP="00064E48" w:rsidRDefault="006848F4" w14:paraId="361B4F85" w14:textId="5E28BA48">
      <w:pPr>
        <w:spacing w:before="80" w:after="80" w:line="240" w:lineRule="auto"/>
        <w:rPr>
          <w:rFonts w:ascii="Open Sans" w:hAnsi="Open Sans" w:eastAsia="Times New Roman" w:cs="Open Sans"/>
          <w:color w:val="000000"/>
        </w:rPr>
      </w:pPr>
      <w:r>
        <w:rPr>
          <w:rFonts w:ascii="Open Sans" w:hAnsi="Open Sans" w:eastAsia="Times New Roman" w:cs="Open Sans"/>
          <w:color w:val="000000"/>
          <w:lang w:val="fr"/>
        </w:rPr>
        <w:t>Puisque le nombre de personnes ayant besoin d’assistance augmente, les besoins de financement s’accroissent également. Le pourcentage de financement assuré est à peu près de 54 %, un chiffre qui tend à diminuer.</w:t>
      </w:r>
    </w:p>
    <w:p w:rsidR="00C97B2A" w:rsidP="00064E48" w:rsidRDefault="00CC2899" w14:paraId="71E52688" w14:textId="3C7FC6D4">
      <w:pPr>
        <w:spacing w:before="80" w:after="80" w:line="240" w:lineRule="auto"/>
        <w:rPr>
          <w:rFonts w:ascii="Open Sans" w:hAnsi="Open Sans" w:eastAsia="Times New Roman" w:cs="Open Sans"/>
          <w:color w:val="000000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 xml:space="preserve">Afin de pouvoir atteindre toutes les personnes dans le besoin, les programmes humanitaires doivent être </w:t>
      </w:r>
      <w:r>
        <w:rPr>
          <w:rFonts w:ascii="Open Sans" w:hAnsi="Open Sans" w:eastAsia="Times New Roman" w:cs="Open Sans"/>
          <w:b/>
          <w:bCs/>
          <w:color w:val="000000" w:themeColor="text1"/>
          <w:lang w:val="fr"/>
        </w:rPr>
        <w:t>de plus en plus efficaces</w:t>
      </w:r>
      <w:r>
        <w:rPr>
          <w:rFonts w:ascii="Open Sans" w:hAnsi="Open Sans" w:eastAsia="Times New Roman" w:cs="Open Sans"/>
          <w:color w:val="000000" w:themeColor="text1"/>
          <w:lang w:val="fr"/>
        </w:rPr>
        <w:t>, et adaptés.</w:t>
      </w:r>
    </w:p>
    <w:p w:rsidRPr="00C97B2A" w:rsidR="006848F4" w:rsidP="00064E48" w:rsidRDefault="006848F4" w14:paraId="72EC1B55" w14:textId="3FC8F1A4">
      <w:pPr>
        <w:spacing w:before="80" w:after="80" w:line="240" w:lineRule="auto"/>
        <w:rPr>
          <w:rFonts w:ascii="Open Sans" w:hAnsi="Open Sans" w:eastAsia="Times New Roman" w:cs="Open Sans"/>
          <w:b/>
          <w:bCs/>
          <w:color w:val="000000"/>
        </w:rPr>
      </w:pPr>
      <w:r>
        <w:rPr>
          <w:rFonts w:ascii="Open Sans" w:hAnsi="Open Sans" w:eastAsia="Times New Roman" w:cs="Open Sans"/>
          <w:b/>
          <w:bCs/>
          <w:color w:val="000000"/>
          <w:lang w:val="fr"/>
        </w:rPr>
        <w:t>Ramener la conversation sur Sphère :</w:t>
      </w:r>
    </w:p>
    <w:p w:rsidR="00064E48" w:rsidP="00064E48" w:rsidRDefault="00064E48" w14:paraId="7A5735A4" w14:textId="12461CDA">
      <w:p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>Le nombre de personnels de terrain augmente, et notamment au sein d</w:t>
      </w:r>
      <w:r w:rsidR="00F75DA6">
        <w:rPr>
          <w:rFonts w:ascii="Open Sans" w:hAnsi="Open Sans" w:eastAsia="Times New Roman" w:cs="Open Sans"/>
          <w:color w:val="000000" w:themeColor="text1"/>
          <w:lang w:val="fr"/>
        </w:rPr>
        <w:t>’</w:t>
      </w:r>
      <w:r>
        <w:rPr>
          <w:rFonts w:ascii="Open Sans" w:hAnsi="Open Sans" w:eastAsia="Times New Roman" w:cs="Open Sans"/>
          <w:color w:val="000000" w:themeColor="text1"/>
          <w:lang w:val="fr"/>
        </w:rPr>
        <w:t>ONG nationales.</w:t>
      </w:r>
    </w:p>
    <w:p w:rsidR="00064E48" w:rsidP="00064E48" w:rsidRDefault="009F2EFA" w14:paraId="7EB1DD78" w14:textId="36AC896B">
      <w:p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 xml:space="preserve">En 2017, il </w:t>
      </w:r>
      <w:r w:rsidR="00064E48">
        <w:rPr>
          <w:rFonts w:ascii="Open Sans" w:hAnsi="Open Sans" w:eastAsia="Times New Roman" w:cs="Open Sans"/>
          <w:color w:val="000000" w:themeColor="text1"/>
          <w:lang w:val="fr"/>
        </w:rPr>
        <w:t xml:space="preserve">y avait 120 000 membres de personnel </w:t>
      </w:r>
      <w:r>
        <w:rPr>
          <w:rFonts w:ascii="Open Sans" w:hAnsi="Open Sans" w:eastAsia="Times New Roman" w:cs="Open Sans"/>
          <w:color w:val="000000" w:themeColor="text1"/>
          <w:lang w:val="fr"/>
        </w:rPr>
        <w:t>de</w:t>
      </w:r>
      <w:r w:rsidR="00064E48">
        <w:rPr>
          <w:rFonts w:ascii="Open Sans" w:hAnsi="Open Sans" w:eastAsia="Times New Roman" w:cs="Open Sans"/>
          <w:color w:val="000000" w:themeColor="text1"/>
          <w:lang w:val="fr"/>
        </w:rPr>
        <w:t xml:space="preserve"> plus qu’en 2013, 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qui </w:t>
      </w:r>
      <w:r w:rsidR="00064E48">
        <w:rPr>
          <w:rFonts w:ascii="Open Sans" w:hAnsi="Open Sans" w:eastAsia="Times New Roman" w:cs="Open Sans"/>
          <w:color w:val="000000" w:themeColor="text1"/>
          <w:lang w:val="fr"/>
        </w:rPr>
        <w:t>travailla</w:t>
      </w:r>
      <w:r>
        <w:rPr>
          <w:rFonts w:ascii="Open Sans" w:hAnsi="Open Sans" w:eastAsia="Times New Roman" w:cs="Open Sans"/>
          <w:color w:val="000000" w:themeColor="text1"/>
          <w:lang w:val="fr"/>
        </w:rPr>
        <w:t>ie</w:t>
      </w:r>
      <w:r w:rsidR="00064E48">
        <w:rPr>
          <w:rFonts w:ascii="Open Sans" w:hAnsi="Open Sans" w:eastAsia="Times New Roman" w:cs="Open Sans"/>
          <w:color w:val="000000" w:themeColor="text1"/>
          <w:lang w:val="fr"/>
        </w:rPr>
        <w:t>nt pour la plupart avec des ONG locales ou nationales. La connaissance de Sphère est plus faible parmi ce groupe qu’au sein du mouvement de la Croix-Rouge et du Croissant-Rouge, des ONG internationales et des agences humanitaires des Nations Unies (ONU). La sensibilisation à la Sphère, le plaidoyer et la formation sont ainsi particulièrement importants dans ce groupe conséquent</w:t>
      </w:r>
      <w:r w:rsidR="00F75DA6">
        <w:rPr>
          <w:rFonts w:ascii="Open Sans" w:hAnsi="Open Sans" w:eastAsia="Times New Roman" w:cs="Open Sans"/>
          <w:color w:val="000000" w:themeColor="text1"/>
          <w:lang w:val="fr"/>
        </w:rPr>
        <w:t>,</w:t>
      </w:r>
      <w:r w:rsidR="00064E48">
        <w:rPr>
          <w:rFonts w:ascii="Open Sans" w:hAnsi="Open Sans" w:eastAsia="Times New Roman" w:cs="Open Sans"/>
          <w:color w:val="000000" w:themeColor="text1"/>
          <w:lang w:val="fr"/>
        </w:rPr>
        <w:t xml:space="preserve"> mais plus difficile à atteindre.</w:t>
      </w:r>
    </w:p>
    <w:p w:rsidR="00064E48" w:rsidP="00064E48" w:rsidRDefault="00064E48" w14:paraId="088A3F68" w14:textId="70021A37">
      <w:pPr>
        <w:spacing w:before="80" w:after="80" w:line="240" w:lineRule="auto"/>
        <w:rPr>
          <w:rFonts w:ascii="Open Sans" w:hAnsi="Open Sans" w:eastAsia="Times New Roman" w:cs="Open Sans"/>
          <w:color w:val="000000" w:themeColor="text1"/>
        </w:rPr>
      </w:pPr>
      <w:r>
        <w:rPr>
          <w:rFonts w:ascii="Open Sans" w:hAnsi="Open Sans" w:eastAsia="Times New Roman" w:cs="Open Sans"/>
          <w:color w:val="000000" w:themeColor="text1"/>
          <w:lang w:val="fr"/>
        </w:rPr>
        <w:t xml:space="preserve">Il est important pour Sphère d’entrer en contact avec les ONG nationales et locales, car nous pensons fermement que la résilience </w:t>
      </w:r>
      <w:proofErr w:type="spellStart"/>
      <w:r>
        <w:rPr>
          <w:rFonts w:ascii="Open Sans" w:hAnsi="Open Sans" w:eastAsia="Times New Roman" w:cs="Open Sans"/>
          <w:color w:val="000000" w:themeColor="text1"/>
          <w:lang w:val="fr"/>
        </w:rPr>
        <w:t>de</w:t>
      </w:r>
      <w:r w:rsidR="00F75DA6">
        <w:rPr>
          <w:rFonts w:ascii="Open Sans" w:hAnsi="Open Sans" w:eastAsia="Times New Roman" w:cs="Open Sans"/>
          <w:color w:val="000000" w:themeColor="text1"/>
          <w:lang w:val="fr"/>
        </w:rPr>
        <w:t>s</w:t>
      </w:r>
      <w:proofErr w:type="spellEnd"/>
      <w:r w:rsidRPr="009F2EFA" w:rsidR="009F2EFA">
        <w:rPr>
          <w:rFonts w:ascii="Open Sans" w:hAnsi="Open Sans" w:eastAsia="Times New Roman" w:cs="Open Sans"/>
          <w:color w:val="000000" w:themeColor="text1"/>
          <w:lang w:val="fr"/>
        </w:rPr>
        <w:t xml:space="preserve"> </w:t>
      </w:r>
      <w:r w:rsidR="009F2EFA">
        <w:rPr>
          <w:rFonts w:ascii="Open Sans" w:hAnsi="Open Sans" w:eastAsia="Times New Roman" w:cs="Open Sans"/>
          <w:color w:val="000000" w:themeColor="text1"/>
          <w:lang w:val="fr"/>
        </w:rPr>
        <w:t xml:space="preserve">personnes affectées </w:t>
      </w:r>
      <w:r w:rsidR="009F2EFA">
        <w:rPr>
          <w:rFonts w:ascii="Open Sans" w:hAnsi="Open Sans" w:eastAsia="Times New Roman" w:cs="Open Sans"/>
          <w:color w:val="000000" w:themeColor="text1"/>
          <w:lang w:val="fr"/>
        </w:rPr>
        <w:lastRenderedPageBreak/>
        <w:t>par une crise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 et les résultats </w:t>
      </w:r>
      <w:r w:rsidR="009F2EFA">
        <w:rPr>
          <w:rFonts w:ascii="Open Sans" w:hAnsi="Open Sans" w:eastAsia="Times New Roman" w:cs="Open Sans"/>
          <w:color w:val="000000" w:themeColor="text1"/>
          <w:lang w:val="fr"/>
        </w:rPr>
        <w:t xml:space="preserve">qui les concernent </w:t>
      </w:r>
      <w:r>
        <w:rPr>
          <w:rFonts w:ascii="Open Sans" w:hAnsi="Open Sans" w:eastAsia="Times New Roman" w:cs="Open Sans"/>
          <w:color w:val="000000" w:themeColor="text1"/>
          <w:lang w:val="fr"/>
        </w:rPr>
        <w:t>sont améliorés si l’aide est apportée par du personnel bien formé</w:t>
      </w:r>
      <w:r w:rsidR="00624B77">
        <w:rPr>
          <w:rFonts w:ascii="Open Sans" w:hAnsi="Open Sans" w:eastAsia="Times New Roman" w:cs="Open Sans"/>
          <w:color w:val="000000" w:themeColor="text1"/>
          <w:lang w:val="fr"/>
        </w:rPr>
        <w:t>,</w:t>
      </w:r>
      <w:r>
        <w:rPr>
          <w:rFonts w:ascii="Open Sans" w:hAnsi="Open Sans" w:eastAsia="Times New Roman" w:cs="Open Sans"/>
          <w:color w:val="000000" w:themeColor="text1"/>
          <w:lang w:val="fr"/>
        </w:rPr>
        <w:t xml:space="preserve"> et qu’elle repose sur des principes et standards acceptés.</w:t>
      </w:r>
    </w:p>
    <w:p w:rsidRPr="007A4F8B" w:rsidR="003C4FE3" w:rsidP="00FE16B8" w:rsidRDefault="003C4FE3" w14:paraId="390A40CD" w14:textId="6BEF30C1">
      <w:pPr>
        <w:pStyle w:val="Paragraphedeliste"/>
        <w:spacing w:before="80" w:after="80" w:line="240" w:lineRule="auto"/>
      </w:pPr>
    </w:p>
    <w:sectPr w:rsidRPr="007A4F8B" w:rsidR="003C4FE3" w:rsidSect="00A36C3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9" w:h="16834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6811" w:rsidRDefault="00966811" w14:paraId="4A0A94E0" w14:textId="77777777">
      <w:pPr>
        <w:spacing w:after="0" w:line="240" w:lineRule="auto"/>
      </w:pPr>
      <w:r>
        <w:separator/>
      </w:r>
    </w:p>
  </w:endnote>
  <w:endnote w:type="continuationSeparator" w:id="0">
    <w:p w:rsidR="00966811" w:rsidRDefault="00966811" w14:paraId="3E3AAD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:rsidTr="377ABDEE" w14:paraId="49843FE2" w14:textId="77777777">
      <w:tc>
        <w:tcPr>
          <w:tcW w:w="3005" w:type="dxa"/>
        </w:tcPr>
        <w:p w:rsidR="377ABDEE" w:rsidP="377ABDEE" w:rsidRDefault="377ABDEE" w14:paraId="7519C461" w14:textId="5A1DAE02">
          <w:pPr>
            <w:pStyle w:val="En-tte"/>
            <w:ind w:left="-115"/>
          </w:pPr>
          <w:r>
            <w:rPr>
              <w:lang w:val="fr"/>
            </w:rPr>
            <w:fldChar w:fldCharType="begin"/>
          </w:r>
          <w:r>
            <w:rPr>
              <w:lang w:val="fr"/>
            </w:rPr>
            <w:instrText>PAGE</w:instrText>
          </w:r>
          <w:r w:rsidR="00000000">
            <w:rPr>
              <w:lang w:val="fr"/>
            </w:rPr>
            <w:fldChar w:fldCharType="separate"/>
          </w:r>
          <w:r>
            <w:rPr>
              <w:lang w:val="fr"/>
            </w:rPr>
            <w:fldChar w:fldCharType="end"/>
          </w:r>
        </w:p>
      </w:tc>
      <w:tc>
        <w:tcPr>
          <w:tcW w:w="3005" w:type="dxa"/>
        </w:tcPr>
        <w:p w:rsidR="377ABDEE" w:rsidP="377ABDEE" w:rsidRDefault="377ABDEE" w14:paraId="75229533" w14:textId="5C95253A">
          <w:pPr>
            <w:pStyle w:val="En-tte"/>
            <w:jc w:val="center"/>
          </w:pPr>
        </w:p>
      </w:tc>
      <w:tc>
        <w:tcPr>
          <w:tcW w:w="3005" w:type="dxa"/>
        </w:tcPr>
        <w:p w:rsidR="377ABDEE" w:rsidP="377ABDEE" w:rsidRDefault="377ABDEE" w14:paraId="3DE960F6" w14:textId="1860B680">
          <w:pPr>
            <w:pStyle w:val="En-tte"/>
            <w:ind w:right="-115"/>
            <w:jc w:val="right"/>
          </w:pPr>
        </w:p>
      </w:tc>
    </w:tr>
  </w:tbl>
  <w:p w:rsidR="377ABDEE" w:rsidP="377ABDEE" w:rsidRDefault="377ABDEE" w14:paraId="45BD1D42" w14:textId="44C52E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1C9EC51" w:rsidTr="377ABDEE" w14:paraId="30869C5A" w14:textId="77777777">
      <w:tc>
        <w:tcPr>
          <w:tcW w:w="3005" w:type="dxa"/>
        </w:tcPr>
        <w:p w:rsidR="71C9EC51" w:rsidP="71C9EC51" w:rsidRDefault="71C9EC51" w14:paraId="69DC7748" w14:textId="702490B7">
          <w:pPr>
            <w:pStyle w:val="En-tte"/>
            <w:ind w:left="-115"/>
          </w:pPr>
          <w:r>
            <w:rPr>
              <w:lang w:val="fr"/>
            </w:rPr>
            <w:fldChar w:fldCharType="begin"/>
          </w:r>
          <w:r>
            <w:rPr>
              <w:lang w:val="fr"/>
            </w:rPr>
            <w:instrText>PAGE</w:instrText>
          </w:r>
          <w:r w:rsidR="00000000">
            <w:rPr>
              <w:lang w:val="fr"/>
            </w:rPr>
            <w:fldChar w:fldCharType="separate"/>
          </w:r>
          <w:r w:rsidR="00F75DA6">
            <w:rPr>
              <w:noProof/>
              <w:lang w:val="fr"/>
            </w:rPr>
            <w:t>1</w:t>
          </w:r>
          <w:r>
            <w:rPr>
              <w:lang w:val="fr"/>
            </w:rPr>
            <w:fldChar w:fldCharType="end"/>
          </w:r>
        </w:p>
      </w:tc>
      <w:tc>
        <w:tcPr>
          <w:tcW w:w="3005" w:type="dxa"/>
        </w:tcPr>
        <w:p w:rsidR="71C9EC51" w:rsidP="71C9EC51" w:rsidRDefault="71C9EC51" w14:paraId="73119207" w14:textId="0765B45C">
          <w:pPr>
            <w:pStyle w:val="En-tte"/>
            <w:jc w:val="center"/>
          </w:pPr>
        </w:p>
      </w:tc>
      <w:tc>
        <w:tcPr>
          <w:tcW w:w="3005" w:type="dxa"/>
        </w:tcPr>
        <w:p w:rsidR="71C9EC51" w:rsidP="71C9EC51" w:rsidRDefault="71C9EC51" w14:paraId="030A1B8C" w14:textId="30AB78E4">
          <w:pPr>
            <w:pStyle w:val="En-tte"/>
            <w:ind w:right="-115"/>
            <w:jc w:val="right"/>
          </w:pPr>
        </w:p>
      </w:tc>
    </w:tr>
  </w:tbl>
  <w:p w:rsidR="71C9EC51" w:rsidP="71C9EC51" w:rsidRDefault="71C9EC51" w14:paraId="68D5E122" w14:textId="4C570A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:rsidTr="377ABDEE" w14:paraId="39315D07" w14:textId="77777777">
      <w:tc>
        <w:tcPr>
          <w:tcW w:w="3005" w:type="dxa"/>
        </w:tcPr>
        <w:p w:rsidR="377ABDEE" w:rsidP="377ABDEE" w:rsidRDefault="377ABDEE" w14:paraId="68B3FA56" w14:textId="1FD5479D">
          <w:pPr>
            <w:pStyle w:val="En-tte"/>
            <w:ind w:left="-115"/>
          </w:pPr>
        </w:p>
      </w:tc>
      <w:tc>
        <w:tcPr>
          <w:tcW w:w="3005" w:type="dxa"/>
        </w:tcPr>
        <w:p w:rsidR="377ABDEE" w:rsidP="377ABDEE" w:rsidRDefault="377ABDEE" w14:paraId="6336B35C" w14:textId="5C3A5ADB">
          <w:pPr>
            <w:pStyle w:val="En-tte"/>
            <w:jc w:val="center"/>
          </w:pPr>
        </w:p>
      </w:tc>
      <w:tc>
        <w:tcPr>
          <w:tcW w:w="3005" w:type="dxa"/>
        </w:tcPr>
        <w:p w:rsidR="377ABDEE" w:rsidP="377ABDEE" w:rsidRDefault="377ABDEE" w14:paraId="3667F878" w14:textId="030D6FCA">
          <w:pPr>
            <w:pStyle w:val="En-tte"/>
            <w:ind w:right="-115"/>
            <w:jc w:val="right"/>
          </w:pPr>
        </w:p>
      </w:tc>
    </w:tr>
  </w:tbl>
  <w:p w:rsidR="377ABDEE" w:rsidP="377ABDEE" w:rsidRDefault="377ABDEE" w14:paraId="616FC684" w14:textId="5ACC58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6811" w:rsidRDefault="00966811" w14:paraId="264EECCD" w14:textId="77777777">
      <w:pPr>
        <w:spacing w:after="0" w:line="240" w:lineRule="auto"/>
      </w:pPr>
      <w:r>
        <w:separator/>
      </w:r>
    </w:p>
  </w:footnote>
  <w:footnote w:type="continuationSeparator" w:id="0">
    <w:p w:rsidR="00966811" w:rsidRDefault="00966811" w14:paraId="589380D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:rsidTr="377ABDEE" w14:paraId="0B48C743" w14:textId="77777777">
      <w:tc>
        <w:tcPr>
          <w:tcW w:w="3005" w:type="dxa"/>
        </w:tcPr>
        <w:p w:rsidR="377ABDEE" w:rsidP="377ABDEE" w:rsidRDefault="377ABDEE" w14:paraId="09DBDDE5" w14:textId="1493962C">
          <w:pPr>
            <w:pStyle w:val="En-tte"/>
            <w:ind w:left="-115"/>
          </w:pPr>
        </w:p>
      </w:tc>
      <w:tc>
        <w:tcPr>
          <w:tcW w:w="3005" w:type="dxa"/>
        </w:tcPr>
        <w:p w:rsidR="377ABDEE" w:rsidP="377ABDEE" w:rsidRDefault="377ABDEE" w14:paraId="0F43DDFF" w14:textId="6389AC11">
          <w:pPr>
            <w:pStyle w:val="En-tte"/>
            <w:jc w:val="center"/>
          </w:pPr>
        </w:p>
      </w:tc>
      <w:tc>
        <w:tcPr>
          <w:tcW w:w="3005" w:type="dxa"/>
        </w:tcPr>
        <w:p w:rsidR="377ABDEE" w:rsidP="377ABDEE" w:rsidRDefault="377ABDEE" w14:paraId="29287C6F" w14:textId="16BBC684">
          <w:pPr>
            <w:pStyle w:val="En-tte"/>
            <w:ind w:right="-115"/>
            <w:jc w:val="right"/>
          </w:pPr>
        </w:p>
      </w:tc>
    </w:tr>
  </w:tbl>
  <w:p w:rsidR="377ABDEE" w:rsidP="377ABDEE" w:rsidRDefault="377ABDEE" w14:paraId="62310F42" w14:textId="351808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1C9EC51" w:rsidTr="1B826BA7" w14:paraId="1304A17E" w14:textId="77777777">
      <w:tc>
        <w:tcPr>
          <w:tcW w:w="3005" w:type="dxa"/>
        </w:tcPr>
        <w:p w:rsidR="71C9EC51" w:rsidP="71C9EC51" w:rsidRDefault="71C9EC51" w14:paraId="47F4834E" w14:textId="1A6EEA9E">
          <w:pPr>
            <w:pStyle w:val="En-tte"/>
            <w:ind w:left="-115"/>
          </w:pPr>
        </w:p>
      </w:tc>
      <w:tc>
        <w:tcPr>
          <w:tcW w:w="3005" w:type="dxa"/>
        </w:tcPr>
        <w:p w:rsidR="71C9EC51" w:rsidP="71C9EC51" w:rsidRDefault="71C9EC51" w14:paraId="4116C276" w14:textId="5AD73EF7">
          <w:pPr>
            <w:pStyle w:val="En-tte"/>
            <w:jc w:val="center"/>
          </w:pPr>
        </w:p>
      </w:tc>
      <w:tc>
        <w:tcPr>
          <w:tcW w:w="3005" w:type="dxa"/>
        </w:tcPr>
        <w:p w:rsidR="71C9EC51" w:rsidP="71C9EC51" w:rsidRDefault="71C9EC51" w14:paraId="3DF7C442" w14:textId="4EE8FF19">
          <w:pPr>
            <w:pStyle w:val="En-tte"/>
            <w:ind w:right="-115"/>
            <w:jc w:val="right"/>
          </w:pPr>
          <w:r>
            <w:rPr>
              <w:noProof/>
              <w:lang w:val="fr"/>
            </w:rPr>
            <w:drawing>
              <wp:inline distT="0" distB="0" distL="0" distR="0" wp14:anchorId="2C27A894" wp14:editId="496FBE5F">
                <wp:extent cx="1276350" cy="590550"/>
                <wp:effectExtent l="0" t="0" r="0" b="0"/>
                <wp:docPr id="1307356294" name="Image 13073562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1C9EC51" w:rsidP="71C9EC51" w:rsidRDefault="71C9EC51" w14:paraId="7B956A29" w14:textId="60F4F56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:rsidTr="377ABDEE" w14:paraId="6AE96A05" w14:textId="77777777">
      <w:tc>
        <w:tcPr>
          <w:tcW w:w="3005" w:type="dxa"/>
        </w:tcPr>
        <w:p w:rsidR="377ABDEE" w:rsidP="377ABDEE" w:rsidRDefault="377ABDEE" w14:paraId="15EF2FA2" w14:textId="69C92A2D">
          <w:pPr>
            <w:pStyle w:val="En-tte"/>
            <w:ind w:left="-115"/>
          </w:pPr>
        </w:p>
      </w:tc>
      <w:tc>
        <w:tcPr>
          <w:tcW w:w="3005" w:type="dxa"/>
        </w:tcPr>
        <w:p w:rsidR="377ABDEE" w:rsidP="377ABDEE" w:rsidRDefault="377ABDEE" w14:paraId="58AC2195" w14:textId="50E34BE7">
          <w:pPr>
            <w:pStyle w:val="En-tte"/>
            <w:jc w:val="center"/>
          </w:pPr>
        </w:p>
      </w:tc>
      <w:tc>
        <w:tcPr>
          <w:tcW w:w="3005" w:type="dxa"/>
        </w:tcPr>
        <w:p w:rsidR="377ABDEE" w:rsidP="377ABDEE" w:rsidRDefault="377ABDEE" w14:paraId="5D756C31" w14:textId="366CB938">
          <w:pPr>
            <w:pStyle w:val="En-tte"/>
            <w:ind w:right="-115"/>
            <w:jc w:val="right"/>
          </w:pPr>
          <w:r>
            <w:rPr>
              <w:noProof/>
              <w:lang w:val="fr"/>
            </w:rPr>
            <w:drawing>
              <wp:inline distT="0" distB="0" distL="0" distR="0" wp14:anchorId="37CDE8D1" wp14:editId="3F1C1DD7">
                <wp:extent cx="1762125" cy="819150"/>
                <wp:effectExtent l="0" t="0" r="0" b="0"/>
                <wp:docPr id="1281295829" name="Image 12812958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77ABDEE" w:rsidP="377ABDEE" w:rsidRDefault="377ABDEE" w14:paraId="52CB5769" w14:textId="405E73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724"/>
    <w:multiLevelType w:val="hybridMultilevel"/>
    <w:tmpl w:val="09985278"/>
    <w:lvl w:ilvl="0" w:tplc="D3B440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C1EB0"/>
    <w:multiLevelType w:val="hybridMultilevel"/>
    <w:tmpl w:val="1A6E3990"/>
    <w:lvl w:ilvl="0" w:tplc="457050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412994"/>
    <w:multiLevelType w:val="hybridMultilevel"/>
    <w:tmpl w:val="ECBC7AB0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F33AF"/>
    <w:multiLevelType w:val="hybridMultilevel"/>
    <w:tmpl w:val="84D8CB60"/>
    <w:lvl w:ilvl="0" w:tplc="C03414E2">
      <w:start w:val="1"/>
      <w:numFmt w:val="upperLetter"/>
      <w:lvlText w:val="%1."/>
      <w:lvlJc w:val="left"/>
      <w:pPr>
        <w:ind w:left="1080" w:hanging="360"/>
      </w:pPr>
      <w:rPr>
        <w:rFonts w:hint="default" w:ascii="Arial" w:hAnsi="Arial" w:cs="Arial"/>
        <w:color w:val="00000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332327"/>
    <w:multiLevelType w:val="hybridMultilevel"/>
    <w:tmpl w:val="1794F700"/>
    <w:lvl w:ilvl="0" w:tplc="200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22156"/>
    <w:multiLevelType w:val="hybridMultilevel"/>
    <w:tmpl w:val="16C8360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24763"/>
    <w:multiLevelType w:val="hybridMultilevel"/>
    <w:tmpl w:val="6B32D4E2"/>
    <w:lvl w:ilvl="0" w:tplc="BA0C173A">
      <w:start w:val="1"/>
      <w:numFmt w:val="upperLetter"/>
      <w:lvlText w:val="%1."/>
      <w:lvlJc w:val="left"/>
      <w:pPr>
        <w:ind w:left="1080" w:hanging="360"/>
      </w:pPr>
      <w:rPr>
        <w:rFonts w:hint="default" w:ascii="Arial" w:hAnsi="Arial" w:cs="Arial"/>
        <w:b/>
        <w:color w:val="00000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823C73"/>
    <w:multiLevelType w:val="hybridMultilevel"/>
    <w:tmpl w:val="1D744D68"/>
    <w:lvl w:ilvl="0" w:tplc="C1F8E4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E739F3"/>
    <w:multiLevelType w:val="hybridMultilevel"/>
    <w:tmpl w:val="887C7B1C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74CA4"/>
    <w:multiLevelType w:val="hybridMultilevel"/>
    <w:tmpl w:val="A66E3580"/>
    <w:lvl w:ilvl="0" w:tplc="200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991791">
    <w:abstractNumId w:val="9"/>
  </w:num>
  <w:num w:numId="2" w16cid:durableId="803162628">
    <w:abstractNumId w:val="2"/>
  </w:num>
  <w:num w:numId="3" w16cid:durableId="511799794">
    <w:abstractNumId w:val="8"/>
  </w:num>
  <w:num w:numId="4" w16cid:durableId="109859564">
    <w:abstractNumId w:val="5"/>
  </w:num>
  <w:num w:numId="5" w16cid:durableId="1118992794">
    <w:abstractNumId w:val="4"/>
  </w:num>
  <w:num w:numId="6" w16cid:durableId="570775666">
    <w:abstractNumId w:val="0"/>
  </w:num>
  <w:num w:numId="7" w16cid:durableId="910045349">
    <w:abstractNumId w:val="7"/>
  </w:num>
  <w:num w:numId="8" w16cid:durableId="2098284617">
    <w:abstractNumId w:val="6"/>
  </w:num>
  <w:num w:numId="9" w16cid:durableId="454643311">
    <w:abstractNumId w:val="1"/>
  </w:num>
  <w:num w:numId="10" w16cid:durableId="85499710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false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EB"/>
    <w:rsid w:val="00017C20"/>
    <w:rsid w:val="00064E48"/>
    <w:rsid w:val="000A1A41"/>
    <w:rsid w:val="000C01B8"/>
    <w:rsid w:val="000E07BF"/>
    <w:rsid w:val="000E7864"/>
    <w:rsid w:val="0012001B"/>
    <w:rsid w:val="00122463"/>
    <w:rsid w:val="00142ACF"/>
    <w:rsid w:val="0014397D"/>
    <w:rsid w:val="001660AB"/>
    <w:rsid w:val="001A2FAD"/>
    <w:rsid w:val="001B0615"/>
    <w:rsid w:val="001C6DDA"/>
    <w:rsid w:val="001E5212"/>
    <w:rsid w:val="00202121"/>
    <w:rsid w:val="0022573F"/>
    <w:rsid w:val="002379BF"/>
    <w:rsid w:val="002B3F7D"/>
    <w:rsid w:val="002C00C3"/>
    <w:rsid w:val="002E5267"/>
    <w:rsid w:val="002F511A"/>
    <w:rsid w:val="002F69E6"/>
    <w:rsid w:val="00301E04"/>
    <w:rsid w:val="003340B4"/>
    <w:rsid w:val="00363F32"/>
    <w:rsid w:val="00364DEC"/>
    <w:rsid w:val="003764B1"/>
    <w:rsid w:val="003C4FE3"/>
    <w:rsid w:val="003C69CF"/>
    <w:rsid w:val="003D1AFA"/>
    <w:rsid w:val="003D2F60"/>
    <w:rsid w:val="003E412F"/>
    <w:rsid w:val="003E5BCE"/>
    <w:rsid w:val="003F2A7D"/>
    <w:rsid w:val="003F517B"/>
    <w:rsid w:val="003F54AB"/>
    <w:rsid w:val="004012D9"/>
    <w:rsid w:val="00426327"/>
    <w:rsid w:val="0044003E"/>
    <w:rsid w:val="00467832"/>
    <w:rsid w:val="00472843"/>
    <w:rsid w:val="004A1D9F"/>
    <w:rsid w:val="004D2E10"/>
    <w:rsid w:val="004F05A8"/>
    <w:rsid w:val="004F4DC3"/>
    <w:rsid w:val="004F636A"/>
    <w:rsid w:val="00577E82"/>
    <w:rsid w:val="005908E0"/>
    <w:rsid w:val="00594D8C"/>
    <w:rsid w:val="005A58DA"/>
    <w:rsid w:val="005F7C3A"/>
    <w:rsid w:val="00624B77"/>
    <w:rsid w:val="00636906"/>
    <w:rsid w:val="006407EB"/>
    <w:rsid w:val="006848F4"/>
    <w:rsid w:val="00694EF0"/>
    <w:rsid w:val="006B2EC0"/>
    <w:rsid w:val="006E12A9"/>
    <w:rsid w:val="007072D7"/>
    <w:rsid w:val="00736D87"/>
    <w:rsid w:val="00793A14"/>
    <w:rsid w:val="007A4F8B"/>
    <w:rsid w:val="007B6ACF"/>
    <w:rsid w:val="007E76D4"/>
    <w:rsid w:val="0080127E"/>
    <w:rsid w:val="0080632A"/>
    <w:rsid w:val="0083025B"/>
    <w:rsid w:val="0084502B"/>
    <w:rsid w:val="008A33BF"/>
    <w:rsid w:val="008B3B43"/>
    <w:rsid w:val="00901008"/>
    <w:rsid w:val="00906E40"/>
    <w:rsid w:val="00914C97"/>
    <w:rsid w:val="009361DC"/>
    <w:rsid w:val="00946D28"/>
    <w:rsid w:val="00966811"/>
    <w:rsid w:val="009775A5"/>
    <w:rsid w:val="009854BD"/>
    <w:rsid w:val="009C3F1D"/>
    <w:rsid w:val="009D1164"/>
    <w:rsid w:val="009F2EFA"/>
    <w:rsid w:val="00A36C35"/>
    <w:rsid w:val="00A60E67"/>
    <w:rsid w:val="00A62BF8"/>
    <w:rsid w:val="00A80EC0"/>
    <w:rsid w:val="00AF5455"/>
    <w:rsid w:val="00B16D8D"/>
    <w:rsid w:val="00B46260"/>
    <w:rsid w:val="00B512DB"/>
    <w:rsid w:val="00B84B49"/>
    <w:rsid w:val="00BA7072"/>
    <w:rsid w:val="00BD62EF"/>
    <w:rsid w:val="00BF62A4"/>
    <w:rsid w:val="00C153E5"/>
    <w:rsid w:val="00C174CD"/>
    <w:rsid w:val="00C3354B"/>
    <w:rsid w:val="00C50CF8"/>
    <w:rsid w:val="00C53BA8"/>
    <w:rsid w:val="00C544F4"/>
    <w:rsid w:val="00C71EFB"/>
    <w:rsid w:val="00C76650"/>
    <w:rsid w:val="00C97B2A"/>
    <w:rsid w:val="00CA77A3"/>
    <w:rsid w:val="00CB3668"/>
    <w:rsid w:val="00CC2899"/>
    <w:rsid w:val="00D1626F"/>
    <w:rsid w:val="00D52719"/>
    <w:rsid w:val="00D74FBC"/>
    <w:rsid w:val="00D81116"/>
    <w:rsid w:val="00D819F3"/>
    <w:rsid w:val="00D9497B"/>
    <w:rsid w:val="00DB4996"/>
    <w:rsid w:val="00DC652F"/>
    <w:rsid w:val="00DD6594"/>
    <w:rsid w:val="00E17D97"/>
    <w:rsid w:val="00E31112"/>
    <w:rsid w:val="00E42D9D"/>
    <w:rsid w:val="00EB27CE"/>
    <w:rsid w:val="00EC10BD"/>
    <w:rsid w:val="00F0748A"/>
    <w:rsid w:val="00F25FF9"/>
    <w:rsid w:val="00F37A14"/>
    <w:rsid w:val="00F646FA"/>
    <w:rsid w:val="00F671B6"/>
    <w:rsid w:val="00F75DA6"/>
    <w:rsid w:val="00FA3619"/>
    <w:rsid w:val="00FD2142"/>
    <w:rsid w:val="00FE16B8"/>
    <w:rsid w:val="046E665D"/>
    <w:rsid w:val="04BB88FF"/>
    <w:rsid w:val="056B63E8"/>
    <w:rsid w:val="06F64D95"/>
    <w:rsid w:val="07073449"/>
    <w:rsid w:val="076C469D"/>
    <w:rsid w:val="08AB4F4C"/>
    <w:rsid w:val="0A227C3A"/>
    <w:rsid w:val="0F12462E"/>
    <w:rsid w:val="11460805"/>
    <w:rsid w:val="11E8E5AF"/>
    <w:rsid w:val="128E1491"/>
    <w:rsid w:val="1314967B"/>
    <w:rsid w:val="13E5B751"/>
    <w:rsid w:val="158187B2"/>
    <w:rsid w:val="15897538"/>
    <w:rsid w:val="15BC0501"/>
    <w:rsid w:val="1A3D82FA"/>
    <w:rsid w:val="1B826BA7"/>
    <w:rsid w:val="1E2AA924"/>
    <w:rsid w:val="20A29F62"/>
    <w:rsid w:val="20EC0DD7"/>
    <w:rsid w:val="228D428D"/>
    <w:rsid w:val="273B6963"/>
    <w:rsid w:val="28CEBBC0"/>
    <w:rsid w:val="28D023EE"/>
    <w:rsid w:val="2C0EDA86"/>
    <w:rsid w:val="2EE00ACA"/>
    <w:rsid w:val="2FDF2E0C"/>
    <w:rsid w:val="319DFF37"/>
    <w:rsid w:val="336E76E3"/>
    <w:rsid w:val="34819671"/>
    <w:rsid w:val="35A1D759"/>
    <w:rsid w:val="377ABDEE"/>
    <w:rsid w:val="37B93733"/>
    <w:rsid w:val="391A9EC2"/>
    <w:rsid w:val="39A519AE"/>
    <w:rsid w:val="3DAF93DA"/>
    <w:rsid w:val="402EC78C"/>
    <w:rsid w:val="40CA75D2"/>
    <w:rsid w:val="443989F5"/>
    <w:rsid w:val="447E91DE"/>
    <w:rsid w:val="4746693E"/>
    <w:rsid w:val="48C7616B"/>
    <w:rsid w:val="494C152F"/>
    <w:rsid w:val="4977AB70"/>
    <w:rsid w:val="4CBEBE91"/>
    <w:rsid w:val="4DC743DE"/>
    <w:rsid w:val="4E2CC3E9"/>
    <w:rsid w:val="4FEAED36"/>
    <w:rsid w:val="5127F808"/>
    <w:rsid w:val="52A66F5C"/>
    <w:rsid w:val="545F98CA"/>
    <w:rsid w:val="547B4DE1"/>
    <w:rsid w:val="554B5EC0"/>
    <w:rsid w:val="558793B8"/>
    <w:rsid w:val="5638738F"/>
    <w:rsid w:val="5797398C"/>
    <w:rsid w:val="5FA24B71"/>
    <w:rsid w:val="5FAA38F7"/>
    <w:rsid w:val="60DC54F3"/>
    <w:rsid w:val="630B30FA"/>
    <w:rsid w:val="64088398"/>
    <w:rsid w:val="6648C02D"/>
    <w:rsid w:val="6818DC64"/>
    <w:rsid w:val="68C2D6BB"/>
    <w:rsid w:val="6A2F3DC4"/>
    <w:rsid w:val="6AE98384"/>
    <w:rsid w:val="6BFCA312"/>
    <w:rsid w:val="6C241BB3"/>
    <w:rsid w:val="6D16B4D8"/>
    <w:rsid w:val="6FCDC40C"/>
    <w:rsid w:val="6FF9D196"/>
    <w:rsid w:val="711CACBF"/>
    <w:rsid w:val="71C9EC51"/>
    <w:rsid w:val="72DED526"/>
    <w:rsid w:val="7493554E"/>
    <w:rsid w:val="77F71D51"/>
    <w:rsid w:val="78458273"/>
    <w:rsid w:val="7A22F295"/>
    <w:rsid w:val="7B2E14AC"/>
    <w:rsid w:val="7E297553"/>
    <w:rsid w:val="7F1AA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0594"/>
  <w15:chartTrackingRefBased/>
  <w15:docId w15:val="{557B7AE3-264B-4CD5-A4F4-C7C4CA18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61D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AF545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06E4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06E40"/>
    <w:rPr>
      <w:color w:val="605E5C"/>
      <w:shd w:val="clear" w:color="auto" w:fill="E1DFDD"/>
    </w:rPr>
  </w:style>
  <w:style w:type="character" w:styleId="Titre1Car" w:customStyle="1">
    <w:name w:val="Titre 1 Car"/>
    <w:basedOn w:val="Policepardfaut"/>
    <w:link w:val="Titre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En-tteCar" w:customStyle="1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F75DA6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F2E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F2EFA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9F2EFA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2EFA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9F2EFA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1.xm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microsoft.com/office/2011/relationships/people" Target="people.xml" Id="rId24" /><Relationship Type="http://schemas.openxmlformats.org/officeDocument/2006/relationships/numbering" Target="numbering.xml" Id="rId5" /><Relationship Type="http://schemas.microsoft.com/office/2016/09/relationships/commentsIds" Target="commentsIds.xml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commentsExtended" Target="commentsExtended.xml" Id="rId14" /><Relationship Type="http://schemas.openxmlformats.org/officeDocument/2006/relationships/footer" Target="footer3.xml" Id="rId22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SharedWithUsers xmlns="9051fefc-2ea4-4620-a82b-61f19e316bb6">
      <UserInfo>
        <DisplayName/>
        <AccountId xsi:nil="true"/>
        <AccountType/>
      </UserInfo>
    </SharedWithUsers>
    <MediaLengthInSeconds xmlns="1355b3f0-e072-4ae3-b261-722c43fa6e2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9818F-FBC2-4527-8C7A-2E545108D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5A7F1D-D9D9-4C93-9681-9700169D9D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5A679-27AD-4957-9040-8E0375E78F56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4.xml><?xml version="1.0" encoding="utf-8"?>
<ds:datastoreItem xmlns:ds="http://schemas.openxmlformats.org/officeDocument/2006/customXml" ds:itemID="{901E9FCB-F289-460B-8E76-DDFA832E9C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62</cp:revision>
  <cp:lastPrinted>2020-06-09T07:12:00Z</cp:lastPrinted>
  <dcterms:created xsi:type="dcterms:W3CDTF">2021-11-30T12:16:00Z</dcterms:created>
  <dcterms:modified xsi:type="dcterms:W3CDTF">2022-08-12T11:59:25Z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45300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