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3348C" w:rsidR="387CC325" w:rsidP="5A438B80" w:rsidRDefault="387CC325" w14:paraId="7DE28A7C" w14:textId="16356F25" w14:noSpellErr="1">
      <w:pPr>
        <w:pStyle w:val="Heading1"/>
        <w:rPr>
          <w:rFonts w:ascii="Calibri Light" w:hAnsi="Calibri Light" w:eastAsia="游ゴシック Light" w:cs="Times New Roman"/>
          <w:b w:val="1"/>
          <w:bCs w:val="1"/>
          <w:color w:val="2F5496" w:themeColor="accent1" w:themeTint="FF" w:themeShade="BF"/>
          <w:sz w:val="32"/>
          <w:szCs w:val="32"/>
        </w:rPr>
      </w:pPr>
      <w:r w:rsidR="387CC325">
        <w:rPr/>
        <w:t xml:space="preserve">Sphere </w:t>
      </w:r>
      <w:r w:rsidR="00301F96">
        <w:rPr/>
        <w:t>k</w:t>
      </w:r>
      <w:r w:rsidR="387CC325">
        <w:rPr/>
        <w:t xml:space="preserve">ey </w:t>
      </w:r>
      <w:r w:rsidR="00301F96">
        <w:rPr/>
        <w:t>t</w:t>
      </w:r>
      <w:r w:rsidR="387CC325">
        <w:rPr/>
        <w:t xml:space="preserve">erms: </w:t>
      </w:r>
      <w:r w:rsidR="00301F96">
        <w:rPr/>
        <w:t>Deb</w:t>
      </w:r>
      <w:r w:rsidR="387CC325">
        <w:rPr/>
        <w:t xml:space="preserve">riefing </w:t>
      </w:r>
      <w:r w:rsidR="00301F96">
        <w:rPr/>
        <w:t>n</w:t>
      </w:r>
      <w:r w:rsidR="387CC325">
        <w:rPr/>
        <w:t>otes</w:t>
      </w:r>
    </w:p>
    <w:p w:rsidRPr="0003348C" w:rsidR="00301F96" w:rsidP="009B6240" w:rsidRDefault="00301F96" w14:paraId="403C61C5" w14:textId="77777777">
      <w:pPr>
        <w:rPr>
          <w:b/>
          <w:bCs/>
        </w:rPr>
      </w:pPr>
    </w:p>
    <w:p w:rsidRPr="0003348C" w:rsidR="009B6240" w:rsidP="5A438B80" w:rsidRDefault="009B6240" w14:paraId="7AFDD25A" w14:textId="1953D5C3" w14:noSpellErr="1">
      <w:pPr>
        <w:pStyle w:val="Heading2"/>
        <w:rPr>
          <w:rFonts w:ascii="Calibri Light" w:hAnsi="Calibri Light" w:eastAsia="游ゴシック Light" w:cs="Times New Roman"/>
          <w:b w:val="1"/>
          <w:bCs w:val="1"/>
          <w:color w:val="2F5496" w:themeColor="accent1" w:themeTint="FF" w:themeShade="BF"/>
          <w:sz w:val="26"/>
          <w:szCs w:val="26"/>
        </w:rPr>
      </w:pPr>
      <w:r w:rsidR="009B6240">
        <w:rPr/>
        <w:t>Accountability</w:t>
      </w:r>
    </w:p>
    <w:p w:rsidRPr="0003348C" w:rsidR="00784239" w:rsidP="009B6240" w:rsidRDefault="00784239" w14:paraId="49969500" w14:textId="4DFB7837">
      <w:r w:rsidRPr="0003348C">
        <w:t>“</w:t>
      </w:r>
      <w:r w:rsidRPr="0003348C">
        <w:t>Accountability refers to the responsible use of power (resources, decision making) by humanitarian actors, combined with effective and quality programming that recognizes a community of concern's dignity, capacity, and ability to be independent.</w:t>
      </w:r>
      <w:r w:rsidRPr="0003348C">
        <w:t xml:space="preserve">” </w:t>
      </w:r>
      <w:hyperlink w:history="1" r:id="rId7">
        <w:r w:rsidRPr="0003348C">
          <w:rPr>
            <w:rStyle w:val="Hyperlink"/>
          </w:rPr>
          <w:t>UNHCR</w:t>
        </w:r>
      </w:hyperlink>
    </w:p>
    <w:p w:rsidRPr="0003348C" w:rsidR="001406C9" w:rsidP="009711D0" w:rsidRDefault="009711D0" w14:paraId="7A75D146" w14:textId="09E5375F">
      <w:r w:rsidRPr="0003348C">
        <w:t>“</w:t>
      </w:r>
      <w:r w:rsidRPr="0003348C">
        <w:t>Accountability to Affected Populations (AAP) is an active commitment by humanitarian actors to use power responsibly by taking account of, giving account to, and being held to account by the people they seek to assist.</w:t>
      </w:r>
      <w:r w:rsidRPr="0003348C">
        <w:t xml:space="preserve">” </w:t>
      </w:r>
      <w:hyperlink w:history="1" r:id="rId8">
        <w:r w:rsidRPr="0003348C" w:rsidR="00B573C6">
          <w:rPr>
            <w:rStyle w:val="Hyperlink"/>
          </w:rPr>
          <w:t>IOM</w:t>
        </w:r>
      </w:hyperlink>
    </w:p>
    <w:p w:rsidRPr="0003348C" w:rsidR="009B6240" w:rsidP="009B6240" w:rsidRDefault="009B6240" w14:paraId="0730C45F" w14:textId="6BE68A1E">
      <w:r w:rsidRPr="0003348C">
        <w:t xml:space="preserve">The more resources you have, the more power you have. </w:t>
      </w:r>
      <w:r w:rsidRPr="0003348C" w:rsidR="0095654B">
        <w:t xml:space="preserve">With power comes responsibility. </w:t>
      </w:r>
      <w:r w:rsidRPr="0003348C">
        <w:t>The more responsibility you have, the more accountable you</w:t>
      </w:r>
      <w:r w:rsidRPr="0003348C" w:rsidR="00B573C6">
        <w:t xml:space="preserve"> must</w:t>
      </w:r>
      <w:r w:rsidRPr="0003348C">
        <w:t xml:space="preserve"> be.</w:t>
      </w:r>
    </w:p>
    <w:p w:rsidRPr="0003348C" w:rsidR="009B6240" w:rsidP="009B6240" w:rsidRDefault="009B6240" w14:paraId="52EF8F8D" w14:textId="7ED883E4">
      <w:r w:rsidRPr="0003348C">
        <w:t xml:space="preserve">The Sphere </w:t>
      </w:r>
      <w:r w:rsidRPr="0003348C" w:rsidR="0095654B">
        <w:t>Handbook</w:t>
      </w:r>
      <w:r w:rsidRPr="0003348C">
        <w:t xml:space="preserve"> helps you to behave in an accountable way. It defines best practise and provides guidance on how to involve all stakeholders – including minority groups – at all stages of the programme cycle.</w:t>
      </w:r>
    </w:p>
    <w:p w:rsidRPr="0003348C" w:rsidR="009B6240" w:rsidP="009B6240" w:rsidRDefault="009B6240" w14:paraId="4B62F029" w14:textId="7AD96079">
      <w:r w:rsidRPr="0003348C">
        <w:t>Accountability should primarily be to affected populations, though we recognise that it is multidirectional</w:t>
      </w:r>
      <w:r w:rsidRPr="0003348C" w:rsidR="0095654B">
        <w:t>:</w:t>
      </w:r>
      <w:r w:rsidRPr="0003348C">
        <w:t xml:space="preserve"> to </w:t>
      </w:r>
      <w:r w:rsidRPr="0003348C" w:rsidR="00533C7D">
        <w:t xml:space="preserve">host </w:t>
      </w:r>
      <w:r w:rsidRPr="0003348C">
        <w:t>populations, partners, colleagues, local authorities</w:t>
      </w:r>
      <w:r w:rsidRPr="0003348C" w:rsidR="00533C7D">
        <w:t xml:space="preserve">, </w:t>
      </w:r>
      <w:r w:rsidRPr="0003348C">
        <w:t>donors</w:t>
      </w:r>
      <w:r w:rsidRPr="0003348C" w:rsidR="00533C7D">
        <w:t xml:space="preserve"> and others.</w:t>
      </w:r>
    </w:p>
    <w:p w:rsidRPr="0003348C" w:rsidR="009B6240" w:rsidP="009B6240" w:rsidRDefault="009B6240" w14:paraId="0DE6DC61" w14:textId="77777777"/>
    <w:p w:rsidRPr="0003348C" w:rsidR="009B6240" w:rsidP="5A438B80" w:rsidRDefault="009B6240" w14:paraId="6CA12796" w14:textId="77777777" w14:noSpellErr="1">
      <w:pPr>
        <w:pStyle w:val="Heading2"/>
        <w:rPr>
          <w:rFonts w:ascii="Calibri Light" w:hAnsi="Calibri Light" w:eastAsia="游ゴシック Light" w:cs="Times New Roman"/>
          <w:b w:val="1"/>
          <w:bCs w:val="1"/>
          <w:color w:val="2F5496" w:themeColor="accent1" w:themeTint="FF" w:themeShade="BF"/>
          <w:sz w:val="26"/>
          <w:szCs w:val="26"/>
        </w:rPr>
      </w:pPr>
      <w:r w:rsidR="009B6240">
        <w:rPr/>
        <w:t>Quality</w:t>
      </w:r>
    </w:p>
    <w:p w:rsidRPr="0003348C" w:rsidR="009B6240" w:rsidP="009B6240" w:rsidRDefault="009B6240" w14:paraId="7D78A817" w14:textId="6AD6D804">
      <w:r w:rsidRPr="0003348C">
        <w:t xml:space="preserve">Sphere is one of the </w:t>
      </w:r>
      <w:r w:rsidRPr="0003348C" w:rsidR="12D6547E">
        <w:t xml:space="preserve">longest </w:t>
      </w:r>
      <w:proofErr w:type="gramStart"/>
      <w:r w:rsidRPr="0003348C" w:rsidR="12D6547E">
        <w:t>standing</w:t>
      </w:r>
      <w:proofErr w:type="gramEnd"/>
      <w:r w:rsidRPr="0003348C" w:rsidR="12D6547E">
        <w:t xml:space="preserve"> </w:t>
      </w:r>
      <w:r w:rsidRPr="0003348C">
        <w:t xml:space="preserve">of the “Quality and Accountability” (Q&amp;A) initiatives in the humanitarian sector. A good quality humanitarian programme is one that is </w:t>
      </w:r>
      <w:r w:rsidRPr="0003348C">
        <w:rPr>
          <w:b/>
          <w:bCs/>
        </w:rPr>
        <w:t>effective</w:t>
      </w:r>
      <w:r w:rsidRPr="0003348C">
        <w:t xml:space="preserve">, </w:t>
      </w:r>
      <w:r w:rsidRPr="0003348C">
        <w:rPr>
          <w:b/>
          <w:bCs/>
        </w:rPr>
        <w:t>efficient</w:t>
      </w:r>
      <w:r w:rsidRPr="0003348C">
        <w:t xml:space="preserve"> and </w:t>
      </w:r>
      <w:r w:rsidRPr="0003348C">
        <w:rPr>
          <w:b/>
          <w:bCs/>
        </w:rPr>
        <w:t>appropriate</w:t>
      </w:r>
      <w:r w:rsidRPr="0003348C">
        <w:t>.</w:t>
      </w:r>
    </w:p>
    <w:p w:rsidRPr="0003348C" w:rsidR="00533C7D" w:rsidP="009B6240" w:rsidRDefault="009B6240" w14:paraId="036FF440" w14:textId="77777777">
      <w:r w:rsidRPr="0003348C">
        <w:t xml:space="preserve">Response will not be effective or appropriate unless affected populations participate actively. </w:t>
      </w:r>
    </w:p>
    <w:p w:rsidRPr="0003348C" w:rsidR="009B6240" w:rsidP="009B6240" w:rsidRDefault="009B6240" w14:paraId="18D56B46" w14:textId="6CDA4585">
      <w:r w:rsidRPr="0003348C">
        <w:t>Assessment</w:t>
      </w:r>
      <w:r w:rsidRPr="0003348C" w:rsidR="00533C7D">
        <w:t>s</w:t>
      </w:r>
      <w:r w:rsidRPr="0003348C">
        <w:t xml:space="preserve"> </w:t>
      </w:r>
      <w:r w:rsidRPr="0003348C" w:rsidR="00533C7D">
        <w:t>are</w:t>
      </w:r>
      <w:r w:rsidRPr="0003348C">
        <w:t xml:space="preserve"> required</w:t>
      </w:r>
      <w:r w:rsidRPr="0003348C" w:rsidR="00436242">
        <w:t xml:space="preserve"> to ensure initial </w:t>
      </w:r>
      <w:r w:rsidRPr="0003348C" w:rsidR="00436242">
        <w:rPr>
          <w:b/>
          <w:bCs/>
        </w:rPr>
        <w:t>appropriateness</w:t>
      </w:r>
      <w:r w:rsidRPr="0003348C">
        <w:t>. Regular monitoring and evaluation</w:t>
      </w:r>
      <w:r w:rsidRPr="0003348C" w:rsidR="002B056E">
        <w:t>s</w:t>
      </w:r>
      <w:r w:rsidRPr="0003348C">
        <w:t xml:space="preserve"> </w:t>
      </w:r>
      <w:r w:rsidRPr="0003348C" w:rsidR="00533C7D">
        <w:t>are</w:t>
      </w:r>
      <w:r w:rsidRPr="0003348C">
        <w:t xml:space="preserve"> required to check the response is meeting its targets (</w:t>
      </w:r>
      <w:r w:rsidRPr="0003348C">
        <w:rPr>
          <w:b/>
          <w:bCs/>
        </w:rPr>
        <w:t>effectiveness</w:t>
      </w:r>
      <w:r w:rsidRPr="0003348C">
        <w:t>) and that the targets are still relevant (</w:t>
      </w:r>
      <w:r w:rsidRPr="0003348C" w:rsidR="007B1DB4">
        <w:t xml:space="preserve">continued </w:t>
      </w:r>
      <w:r w:rsidRPr="0003348C">
        <w:rPr>
          <w:b/>
          <w:bCs/>
        </w:rPr>
        <w:t>appropriateness</w:t>
      </w:r>
      <w:r w:rsidRPr="0003348C">
        <w:t xml:space="preserve">). Sphere </w:t>
      </w:r>
      <w:r w:rsidRPr="0003348C" w:rsidR="007B1DB4">
        <w:t xml:space="preserve">standards and </w:t>
      </w:r>
      <w:r w:rsidRPr="0003348C">
        <w:t xml:space="preserve">indicators help </w:t>
      </w:r>
      <w:r w:rsidRPr="0003348C" w:rsidR="007B1DB4">
        <w:t>to measure quality</w:t>
      </w:r>
      <w:r w:rsidRPr="0003348C">
        <w:t>.</w:t>
      </w:r>
    </w:p>
    <w:p w:rsidRPr="0003348C" w:rsidR="009B6240" w:rsidP="009B6240" w:rsidRDefault="000C7BB3" w14:paraId="4E812C14" w14:textId="606F3E9A">
      <w:r w:rsidRPr="0003348C">
        <w:t>As we saw in the earlier activity</w:t>
      </w:r>
      <w:r w:rsidRPr="0003348C" w:rsidR="002B056E">
        <w:t xml:space="preserve"> (</w:t>
      </w:r>
      <w:r w:rsidRPr="0003348C" w:rsidR="0003348C">
        <w:t xml:space="preserve">2.1: </w:t>
      </w:r>
      <w:r w:rsidRPr="0003348C" w:rsidR="0003348C">
        <w:t>How well do you know the humanitarian sector?</w:t>
      </w:r>
      <w:r w:rsidRPr="0003348C" w:rsidR="0003348C">
        <w:t>)</w:t>
      </w:r>
      <w:r w:rsidRPr="0003348C">
        <w:t>, t</w:t>
      </w:r>
      <w:r w:rsidRPr="0003348C" w:rsidR="009B6240">
        <w:t xml:space="preserve">he humanitarian sector is increasingly stretched – </w:t>
      </w:r>
      <w:r w:rsidRPr="0003348C" w:rsidR="0003348C">
        <w:t xml:space="preserve">i.e., </w:t>
      </w:r>
      <w:r w:rsidRPr="0003348C" w:rsidR="009B6240">
        <w:t xml:space="preserve">having to do more with less – so </w:t>
      </w:r>
      <w:r w:rsidRPr="0003348C" w:rsidR="009B6240">
        <w:rPr>
          <w:b/>
          <w:bCs/>
        </w:rPr>
        <w:t>efficiency</w:t>
      </w:r>
      <w:r w:rsidRPr="0003348C" w:rsidR="009B6240">
        <w:t xml:space="preserve"> is also important. The number of people requiring humanitarian assistance is growing, and funding is not growing </w:t>
      </w:r>
      <w:r w:rsidRPr="0003348C" w:rsidR="54A037F6">
        <w:t>at the same rate</w:t>
      </w:r>
      <w:r w:rsidRPr="0003348C" w:rsidR="009B6240">
        <w:t>.</w:t>
      </w:r>
    </w:p>
    <w:p w:rsidRPr="0003348C" w:rsidR="009B6240" w:rsidP="009B6240" w:rsidRDefault="009B6240" w14:paraId="4C84D853" w14:textId="77777777"/>
    <w:p w:rsidRPr="0003348C" w:rsidR="0003348C" w:rsidRDefault="0003348C" w14:paraId="68D99CCA" w14:textId="77777777">
      <w:pPr>
        <w:rPr>
          <w:b/>
          <w:bCs/>
        </w:rPr>
      </w:pPr>
      <w:r w:rsidRPr="0003348C">
        <w:rPr>
          <w:b/>
          <w:bCs/>
        </w:rPr>
        <w:br w:type="page"/>
      </w:r>
    </w:p>
    <w:p w:rsidRPr="0003348C" w:rsidR="009B6240" w:rsidP="5A438B80" w:rsidRDefault="009B6240" w14:paraId="1F6BD8EC" w14:textId="26C1835F" w14:noSpellErr="1">
      <w:pPr>
        <w:pStyle w:val="Heading2"/>
        <w:rPr>
          <w:rFonts w:ascii="Calibri Light" w:hAnsi="Calibri Light" w:eastAsia="游ゴシック Light" w:cs="Times New Roman"/>
          <w:b w:val="1"/>
          <w:bCs w:val="1"/>
          <w:color w:val="2F5496" w:themeColor="accent1" w:themeTint="FF" w:themeShade="BF"/>
          <w:sz w:val="26"/>
          <w:szCs w:val="26"/>
        </w:rPr>
      </w:pPr>
      <w:r w:rsidR="009B6240">
        <w:rPr/>
        <w:t>Inclusion</w:t>
      </w:r>
    </w:p>
    <w:p w:rsidRPr="0003348C" w:rsidR="001F1523" w:rsidP="009B6240" w:rsidRDefault="00480D23" w14:paraId="729A5D0D" w14:textId="2F7D3EFB">
      <w:r w:rsidRPr="0003348C">
        <w:t>Everyone</w:t>
      </w:r>
      <w:r w:rsidRPr="0003348C" w:rsidR="008241B1">
        <w:t xml:space="preserve"> affected by crisis</w:t>
      </w:r>
      <w:r w:rsidRPr="0003348C">
        <w:t xml:space="preserve"> must be given opportunities to participate actively</w:t>
      </w:r>
      <w:r w:rsidRPr="0003348C" w:rsidR="009B6240">
        <w:t>, including at-risk and marginalised groups. Seek out hidden voices.</w:t>
      </w:r>
    </w:p>
    <w:p w:rsidRPr="0003348C" w:rsidR="009B6240" w:rsidP="00B222E4" w:rsidRDefault="00480D23" w14:paraId="076D9760" w14:textId="6B2CFFE2">
      <w:r w:rsidRPr="0003348C">
        <w:t>Identify and w</w:t>
      </w:r>
      <w:r w:rsidRPr="0003348C" w:rsidR="009B6240">
        <w:t xml:space="preserve">ork with </w:t>
      </w:r>
      <w:r w:rsidRPr="0003348C">
        <w:t>Di</w:t>
      </w:r>
      <w:r w:rsidRPr="0003348C" w:rsidR="001F1523">
        <w:t>sabled Persons Organisations (</w:t>
      </w:r>
      <w:r w:rsidRPr="0003348C" w:rsidR="009B6240">
        <w:t>DPO</w:t>
      </w:r>
      <w:r w:rsidRPr="0003348C" w:rsidR="001F1523">
        <w:t>s)</w:t>
      </w:r>
      <w:r w:rsidRPr="0003348C" w:rsidR="00D05E9F">
        <w:t>: they are experts in disability and inclusion.</w:t>
      </w:r>
      <w:r w:rsidRPr="0003348C" w:rsidR="00C3070F">
        <w:t xml:space="preserve"> Recall the slogan of the disability community: “Nothing about us without us”.</w:t>
      </w:r>
      <w:r w:rsidRPr="0003348C" w:rsidR="00B222E4">
        <w:t xml:space="preserve"> Revise the social model of disability</w:t>
      </w:r>
      <w:r w:rsidRPr="0003348C" w:rsidR="005C4E74">
        <w:t xml:space="preserve"> which states that disability is the product of impairment and social barriers.</w:t>
      </w:r>
    </w:p>
    <w:p w:rsidRPr="0003348C" w:rsidR="00C16358" w:rsidP="00D05E9F" w:rsidRDefault="00D05E9F" w14:paraId="347B44D5" w14:textId="6F3B794F">
      <w:r w:rsidRPr="0003348C">
        <w:t xml:space="preserve">Review the </w:t>
      </w:r>
      <w:r w:rsidRPr="005A4D71">
        <w:rPr>
          <w:i/>
          <w:iCs/>
        </w:rPr>
        <w:t xml:space="preserve">Humanitarian Inclusion Standards for Older People and People with Disabilities </w:t>
      </w:r>
      <w:r w:rsidRPr="0003348C">
        <w:t xml:space="preserve">(HIS) but remember that </w:t>
      </w:r>
      <w:r w:rsidRPr="0003348C" w:rsidR="00C16358">
        <w:t>there are m</w:t>
      </w:r>
      <w:r w:rsidRPr="0003348C" w:rsidR="009B6240">
        <w:t xml:space="preserve">any reasons </w:t>
      </w:r>
      <w:r w:rsidRPr="0003348C" w:rsidR="00C16358">
        <w:t>that</w:t>
      </w:r>
      <w:r w:rsidRPr="0003348C" w:rsidR="009B6240">
        <w:t xml:space="preserve"> </w:t>
      </w:r>
      <w:r w:rsidRPr="0003348C" w:rsidR="00C16358">
        <w:t xml:space="preserve">people might be at risk including </w:t>
      </w:r>
      <w:r w:rsidRPr="0003348C" w:rsidR="009B6240">
        <w:t xml:space="preserve">gender, sexuality, health status, </w:t>
      </w:r>
      <w:r w:rsidRPr="0003348C" w:rsidR="00C468E9">
        <w:t xml:space="preserve">religious beliefs, etc., as well as </w:t>
      </w:r>
      <w:r w:rsidRPr="0003348C" w:rsidR="009B6240">
        <w:t>age</w:t>
      </w:r>
      <w:r w:rsidRPr="0003348C" w:rsidR="00C468E9">
        <w:t xml:space="preserve"> and</w:t>
      </w:r>
      <w:r w:rsidRPr="0003348C" w:rsidR="009B6240">
        <w:t xml:space="preserve"> disability status.</w:t>
      </w:r>
    </w:p>
    <w:p w:rsidRPr="0003348C" w:rsidR="009B6240" w:rsidP="00D05E9F" w:rsidRDefault="009B6240" w14:paraId="1254F5D9" w14:textId="38BCE15F">
      <w:r w:rsidRPr="0003348C">
        <w:t>The 2</w:t>
      </w:r>
      <w:r w:rsidRPr="0003348C">
        <w:rPr>
          <w:vertAlign w:val="superscript"/>
        </w:rPr>
        <w:t>nd</w:t>
      </w:r>
      <w:r w:rsidRPr="0003348C">
        <w:t xml:space="preserve"> principle of the C</w:t>
      </w:r>
      <w:r w:rsidRPr="0003348C" w:rsidR="00C468E9">
        <w:t xml:space="preserve">ode of Conduct </w:t>
      </w:r>
      <w:r w:rsidRPr="0003348C">
        <w:t xml:space="preserve">is that “aid priorities are calculated on the basis of need alone”. Everyone experiences crises differently. Groups that were more at-risk before the crises are </w:t>
      </w:r>
      <w:r w:rsidR="005A4D71">
        <w:t>usually</w:t>
      </w:r>
      <w:r w:rsidRPr="0003348C">
        <w:t xml:space="preserve"> impacted more by the crises</w:t>
      </w:r>
      <w:r w:rsidR="00C365A1">
        <w:t>, are less able to access humanitarian assistance,</w:t>
      </w:r>
      <w:r w:rsidRPr="0003348C">
        <w:t xml:space="preserve"> and </w:t>
      </w:r>
      <w:r w:rsidRPr="0003348C" w:rsidR="0006675F">
        <w:t xml:space="preserve">therefore </w:t>
      </w:r>
      <w:r w:rsidRPr="0003348C">
        <w:t xml:space="preserve">have a greater need of assistance. </w:t>
      </w:r>
      <w:r w:rsidRPr="0003348C" w:rsidR="0006675F">
        <w:t>Consequently, it is</w:t>
      </w:r>
      <w:r w:rsidRPr="0003348C">
        <w:t xml:space="preserve"> the responsibility of humanitarian organisations to identify </w:t>
      </w:r>
      <w:r w:rsidRPr="0003348C" w:rsidR="00B222E4">
        <w:t>at-risk</w:t>
      </w:r>
      <w:r w:rsidRPr="0003348C">
        <w:t xml:space="preserve"> groups and prioritise assistance for them.</w:t>
      </w:r>
    </w:p>
    <w:sectPr w:rsidRPr="0003348C" w:rsidR="009B6240" w:rsidSect="00A36C35">
      <w:pgSz w:w="11909" w:h="16834" w:orient="portrait" w:code="9"/>
      <w:pgMar w:top="1440" w:right="1440" w:bottom="1440" w:left="1440" w:header="720" w:footer="720" w:gutter="0"/>
      <w:cols w:space="720"/>
      <w:docGrid w:linePitch="360"/>
      <w:headerReference w:type="default" r:id="R4e31e080ae534c4c"/>
      <w:footerReference w:type="default" r:id="Ra2bf2ced01074de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5A438B80" w:rsidTr="5EC402DB" w14:paraId="707DC925">
      <w:tc>
        <w:tcPr>
          <w:tcW w:w="3005" w:type="dxa"/>
          <w:tcMar/>
        </w:tcPr>
        <w:p w:rsidR="5A438B80" w:rsidP="5A438B80" w:rsidRDefault="5A438B80" w14:paraId="3E6FFEEB" w14:textId="7B9FFA7D">
          <w:pPr>
            <w:pStyle w:val="Header"/>
            <w:bidi w:val="0"/>
            <w:ind w:left="-115"/>
            <w:jc w:val="left"/>
            <w:rPr>
              <w:rFonts w:ascii="Calibri" w:hAnsi="Calibri" w:eastAsia="Calibri" w:cs="Arial"/>
            </w:rPr>
          </w:pPr>
          <w:r w:rsidRPr="5EC402DB">
            <w:rPr>
              <w:rFonts w:ascii="Calibri" w:hAnsi="Calibri" w:eastAsia="Calibri" w:cs="Arial"/>
            </w:rPr>
            <w:fldChar w:fldCharType="begin"/>
          </w:r>
          <w:r>
            <w:instrText xml:space="preserve">PAGE</w:instrText>
          </w:r>
          <w:r>
            <w:fldChar w:fldCharType="separate"/>
          </w:r>
          <w:r w:rsidRPr="5EC402DB">
            <w:rPr>
              <w:rFonts w:ascii="Calibri" w:hAnsi="Calibri" w:eastAsia="Calibri" w:cs="Arial"/>
            </w:rPr>
            <w:fldChar w:fldCharType="end"/>
          </w:r>
        </w:p>
      </w:tc>
      <w:tc>
        <w:tcPr>
          <w:tcW w:w="3005" w:type="dxa"/>
          <w:tcMar/>
        </w:tcPr>
        <w:p w:rsidR="5A438B80" w:rsidP="5A438B80" w:rsidRDefault="5A438B80" w14:paraId="5736A8F4" w14:textId="79C45E86">
          <w:pPr>
            <w:pStyle w:val="Header"/>
            <w:bidi w:val="0"/>
            <w:jc w:val="center"/>
            <w:rPr>
              <w:rFonts w:ascii="Calibri" w:hAnsi="Calibri" w:eastAsia="Calibri" w:cs="Arial"/>
            </w:rPr>
          </w:pPr>
        </w:p>
      </w:tc>
      <w:tc>
        <w:tcPr>
          <w:tcW w:w="3005" w:type="dxa"/>
          <w:tcMar/>
        </w:tcPr>
        <w:p w:rsidR="5A438B80" w:rsidP="5A438B80" w:rsidRDefault="5A438B80" w14:paraId="1711286A" w14:textId="18D8EAAC">
          <w:pPr>
            <w:pStyle w:val="Header"/>
            <w:bidi w:val="0"/>
            <w:ind w:right="-115"/>
            <w:jc w:val="right"/>
            <w:rPr>
              <w:rFonts w:ascii="Calibri" w:hAnsi="Calibri" w:eastAsia="Calibri" w:cs="Arial"/>
            </w:rPr>
          </w:pPr>
        </w:p>
      </w:tc>
    </w:tr>
  </w:tbl>
  <w:p w:rsidR="5A438B80" w:rsidP="5A438B80" w:rsidRDefault="5A438B80" w14:paraId="3AE69C41" w14:textId="559864DC">
    <w:pPr>
      <w:pStyle w:val="Footer"/>
      <w:bidi w:val="0"/>
      <w:rPr>
        <w:rFonts w:ascii="Calibri" w:hAnsi="Calibri" w:eastAsia="Calibri" w:cs="Arial"/>
      </w:rPr>
    </w:pP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5A438B80" w:rsidTr="5A438B80" w14:paraId="54E61F8D">
      <w:tc>
        <w:tcPr>
          <w:tcW w:w="3005" w:type="dxa"/>
          <w:tcMar/>
        </w:tcPr>
        <w:p w:rsidR="5A438B80" w:rsidP="5A438B80" w:rsidRDefault="5A438B80" w14:paraId="7BF3EA14" w14:textId="5BF6CDEA">
          <w:pPr>
            <w:pStyle w:val="Header"/>
            <w:bidi w:val="0"/>
            <w:ind w:left="-115"/>
            <w:jc w:val="left"/>
            <w:rPr>
              <w:rFonts w:ascii="Calibri" w:hAnsi="Calibri" w:eastAsia="Calibri" w:cs="Arial"/>
            </w:rPr>
          </w:pPr>
        </w:p>
      </w:tc>
      <w:tc>
        <w:tcPr>
          <w:tcW w:w="3005" w:type="dxa"/>
          <w:tcMar/>
        </w:tcPr>
        <w:p w:rsidR="5A438B80" w:rsidP="5A438B80" w:rsidRDefault="5A438B80" w14:paraId="788C9095" w14:textId="4257BAA8">
          <w:pPr>
            <w:pStyle w:val="Header"/>
            <w:bidi w:val="0"/>
            <w:jc w:val="center"/>
            <w:rPr>
              <w:rFonts w:ascii="Calibri" w:hAnsi="Calibri" w:eastAsia="Calibri" w:cs="Arial"/>
            </w:rPr>
          </w:pPr>
        </w:p>
      </w:tc>
      <w:tc>
        <w:tcPr>
          <w:tcW w:w="3005" w:type="dxa"/>
          <w:tcMar/>
        </w:tcPr>
        <w:p w:rsidR="5A438B80" w:rsidP="5A438B80" w:rsidRDefault="5A438B80" w14:paraId="07A06B81" w14:textId="316E4DD6">
          <w:pPr>
            <w:pStyle w:val="Header"/>
            <w:bidi w:val="0"/>
            <w:ind w:right="-115"/>
            <w:jc w:val="right"/>
            <w:rPr>
              <w:rFonts w:ascii="Calibri" w:hAnsi="Calibri" w:eastAsia="Calibri" w:cs="Arial"/>
            </w:rPr>
          </w:pPr>
          <w:r w:rsidR="5A438B80">
            <w:drawing>
              <wp:inline wp14:editId="5A6FC912" wp14:anchorId="6F250844">
                <wp:extent cx="1276350" cy="590550"/>
                <wp:effectExtent l="0" t="0" r="0" b="0"/>
                <wp:docPr id="1829248646" name="" title=""/>
                <wp:cNvGraphicFramePr>
                  <a:graphicFrameLocks noChangeAspect="1"/>
                </wp:cNvGraphicFramePr>
                <a:graphic>
                  <a:graphicData uri="http://schemas.openxmlformats.org/drawingml/2006/picture">
                    <pic:pic>
                      <pic:nvPicPr>
                        <pic:cNvPr id="0" name=""/>
                        <pic:cNvPicPr/>
                      </pic:nvPicPr>
                      <pic:blipFill>
                        <a:blip r:embed="Re4df09c3d30a4c23">
                          <a:extLst>
                            <a:ext xmlns:a="http://schemas.openxmlformats.org/drawingml/2006/main" uri="{28A0092B-C50C-407E-A947-70E740481C1C}">
                              <a14:useLocalDpi val="0"/>
                            </a:ext>
                          </a:extLst>
                        </a:blip>
                        <a:stretch>
                          <a:fillRect/>
                        </a:stretch>
                      </pic:blipFill>
                      <pic:spPr>
                        <a:xfrm>
                          <a:off x="0" y="0"/>
                          <a:ext cx="1276350" cy="590550"/>
                        </a:xfrm>
                        <a:prstGeom prst="rect">
                          <a:avLst/>
                        </a:prstGeom>
                      </pic:spPr>
                    </pic:pic>
                  </a:graphicData>
                </a:graphic>
              </wp:inline>
            </w:drawing>
          </w:r>
        </w:p>
      </w:tc>
    </w:tr>
  </w:tbl>
  <w:p w:rsidR="5A438B80" w:rsidP="5A438B80" w:rsidRDefault="5A438B80" w14:paraId="5F4CC0B0" w14:textId="59B9A55B">
    <w:pPr>
      <w:pStyle w:val="Header"/>
      <w:bidi w:val="0"/>
      <w:rPr>
        <w:rFonts w:ascii="Calibri" w:hAnsi="Calibri" w:eastAsia="Calibri"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D11"/>
    <w:rsid w:val="0003348C"/>
    <w:rsid w:val="0006675F"/>
    <w:rsid w:val="000C7BB3"/>
    <w:rsid w:val="001406C9"/>
    <w:rsid w:val="001F1523"/>
    <w:rsid w:val="00214D11"/>
    <w:rsid w:val="0028620A"/>
    <w:rsid w:val="002B056E"/>
    <w:rsid w:val="002D7BDC"/>
    <w:rsid w:val="00301F96"/>
    <w:rsid w:val="003C4FE3"/>
    <w:rsid w:val="00436242"/>
    <w:rsid w:val="00480D23"/>
    <w:rsid w:val="00533C7D"/>
    <w:rsid w:val="00594D8C"/>
    <w:rsid w:val="005A4D71"/>
    <w:rsid w:val="005C4E74"/>
    <w:rsid w:val="00784239"/>
    <w:rsid w:val="007B1DB4"/>
    <w:rsid w:val="007D0443"/>
    <w:rsid w:val="007E76D4"/>
    <w:rsid w:val="008241B1"/>
    <w:rsid w:val="0095654B"/>
    <w:rsid w:val="009711D0"/>
    <w:rsid w:val="009B6240"/>
    <w:rsid w:val="00A00F58"/>
    <w:rsid w:val="00A36C35"/>
    <w:rsid w:val="00B222E4"/>
    <w:rsid w:val="00B573C6"/>
    <w:rsid w:val="00BC774F"/>
    <w:rsid w:val="00C16358"/>
    <w:rsid w:val="00C3070F"/>
    <w:rsid w:val="00C365A1"/>
    <w:rsid w:val="00C468E9"/>
    <w:rsid w:val="00D05E9F"/>
    <w:rsid w:val="12D6547E"/>
    <w:rsid w:val="18BE421D"/>
    <w:rsid w:val="26D2CCB1"/>
    <w:rsid w:val="290EACC9"/>
    <w:rsid w:val="387CC325"/>
    <w:rsid w:val="4DED8369"/>
    <w:rsid w:val="54A037F6"/>
    <w:rsid w:val="5A438B80"/>
    <w:rsid w:val="5EC402DB"/>
    <w:rsid w:val="65B9B642"/>
    <w:rsid w:val="7989DE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3CF65"/>
  <w15:chartTrackingRefBased/>
  <w15:docId w15:val="{7B7BF612-401B-4D8A-97EF-4C81D3CE2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B6240"/>
    <w:rPr>
      <w:rFonts w:eastAsiaTheme="minorHAnsi"/>
      <w:lang w:val="en-GB"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rFonts w:eastAsiaTheme="minorHAnsi"/>
      <w:sz w:val="20"/>
      <w:szCs w:val="20"/>
      <w:lang w:val="en-GB" w:eastAsia="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BC774F"/>
    <w:rPr>
      <w:color w:val="0563C1" w:themeColor="hyperlink"/>
      <w:u w:val="single"/>
    </w:rPr>
  </w:style>
  <w:style w:type="character" w:styleId="UnresolvedMention">
    <w:name w:val="Unresolved Mention"/>
    <w:basedOn w:val="DefaultParagraphFont"/>
    <w:uiPriority w:val="99"/>
    <w:semiHidden/>
    <w:unhideWhenUsed/>
    <w:rsid w:val="00BC774F"/>
    <w:rPr>
      <w:color w:val="605E5C"/>
      <w:shd w:val="clear" w:color="auto" w:fill="E1DFDD"/>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om.int/sites/g/files/tmzbdl486/files/documents/Two-page%20Brief%20on%20AAP.pdf" TargetMode="External" Id="rId8" /><Relationship Type="http://schemas.openxmlformats.org/officeDocument/2006/relationships/customXml" Target="../customXml/item3.xml" Id="rId3" /><Relationship Type="http://schemas.openxmlformats.org/officeDocument/2006/relationships/hyperlink" Target="https://emergency.unhcr.org/entry/42554/accountability-to-affected-populations-aap" TargetMode="Externa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openxmlformats.org/officeDocument/2006/relationships/styles" Target="styles.xml" Id="rId4" /><Relationship Type="http://schemas.openxmlformats.org/officeDocument/2006/relationships/fontTable" Target="fontTable.xml" Id="rId9" /><Relationship Type="http://schemas.openxmlformats.org/officeDocument/2006/relationships/header" Target="/word/header.xml" Id="R4e31e080ae534c4c" /><Relationship Type="http://schemas.openxmlformats.org/officeDocument/2006/relationships/footer" Target="/word/footer.xml" Id="Ra2bf2ced01074de7" /></Relationships>
</file>

<file path=word/_rels/header.xml.rels>&#65279;<?xml version="1.0" encoding="utf-8"?><Relationships xmlns="http://schemas.openxmlformats.org/package/2006/relationships"><Relationship Type="http://schemas.openxmlformats.org/officeDocument/2006/relationships/image" Target="/media/image.jpg" Id="Re4df09c3d30a4c2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4" ma:contentTypeDescription="Crée un document." ma:contentTypeScope="" ma:versionID="cac4ba0bb81e8b99a1543f79f69f946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6275b5e0c04214fa6a197eab0a681667"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Props1.xml><?xml version="1.0" encoding="utf-8"?>
<ds:datastoreItem xmlns:ds="http://schemas.openxmlformats.org/officeDocument/2006/customXml" ds:itemID="{D5A0D1A6-08D5-40B8-A561-F24AABE4F5A9}">
  <ds:schemaRefs>
    <ds:schemaRef ds:uri="http://schemas.microsoft.com/sharepoint/v3/contenttype/forms"/>
  </ds:schemaRefs>
</ds:datastoreItem>
</file>

<file path=customXml/itemProps2.xml><?xml version="1.0" encoding="utf-8"?>
<ds:datastoreItem xmlns:ds="http://schemas.openxmlformats.org/officeDocument/2006/customXml" ds:itemID="{7CDF04D2-3816-4D04-8412-4618C36D3563}"/>
</file>

<file path=customXml/itemProps3.xml><?xml version="1.0" encoding="utf-8"?>
<ds:datastoreItem xmlns:ds="http://schemas.openxmlformats.org/officeDocument/2006/customXml" ds:itemID="{C407BE32-FD83-45DB-B13F-16F9863ACEE4}">
  <ds:schemaRefs>
    <ds:schemaRef ds:uri="http://schemas.microsoft.com/office/2006/metadata/properties"/>
    <ds:schemaRef ds:uri="http://schemas.microsoft.com/office/infopath/2007/PartnerControls"/>
    <ds:schemaRef ds:uri="1355b3f0-e072-4ae3-b261-722c43fa6e26"/>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Tristan Hale</dc:creator>
  <keywords/>
  <dc:description/>
  <lastModifiedBy>Felicity Fallon</lastModifiedBy>
  <revision>34</revision>
  <dcterms:created xsi:type="dcterms:W3CDTF">2021-12-01T08:15:00.0000000Z</dcterms:created>
  <dcterms:modified xsi:type="dcterms:W3CDTF">2021-12-09T15:23:42.8171857Z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ies>
</file>