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DE24B" w14:textId="77777777" w:rsidR="00F908D8" w:rsidRDefault="0070337D">
      <w:pPr>
        <w:pStyle w:val="Heading1"/>
        <w:rPr>
          <w:rFonts w:ascii="Calibri" w:eastAsia="Calibri" w:hAnsi="Calibri" w:cs="Calibri"/>
          <w:b/>
        </w:rPr>
      </w:pPr>
      <w:r>
        <w:t>Notas de reflexión posterior: ¿Por qué tener normas?</w:t>
      </w:r>
    </w:p>
    <w:p w14:paraId="447DE24C" w14:textId="77777777" w:rsidR="00F908D8" w:rsidRDefault="00F908D8">
      <w:pPr>
        <w:rPr>
          <w:rFonts w:eastAsia="Calibri"/>
        </w:rPr>
      </w:pPr>
    </w:p>
    <w:p w14:paraId="447DE24D" w14:textId="77777777" w:rsidR="00F908D8" w:rsidRDefault="0070337D">
      <w:pPr>
        <w:numPr>
          <w:ilvl w:val="0"/>
          <w:numId w:val="1"/>
        </w:numPr>
      </w:pPr>
      <w:r>
        <w:rPr>
          <w:b/>
        </w:rPr>
        <w:t>Coordinación</w:t>
      </w:r>
      <w:r>
        <w:t xml:space="preserve">: Diferentes personas y organizaciones que usan un mismo conjunto de normas comparten un </w:t>
      </w:r>
      <w:proofErr w:type="gramStart"/>
      <w:r>
        <w:t>lenguaje común y objetivos comunes</w:t>
      </w:r>
      <w:proofErr w:type="gramEnd"/>
      <w:r>
        <w:t xml:space="preserve">. </w:t>
      </w:r>
    </w:p>
    <w:p w14:paraId="447DE24E" w14:textId="77777777" w:rsidR="00F908D8" w:rsidRDefault="0070337D">
      <w:pPr>
        <w:ind w:left="720"/>
      </w:pPr>
      <w:r>
        <w:t>Existen muchos conjuntos de normas, la mayoría de las cuales son más estrictas que las normas “mínimas” de Esfera. Sin embargo, au</w:t>
      </w:r>
      <w:r>
        <w:t>nque tengan sus propias normas, Esfera sirve de referencia para gobiernos y otros organismos, porque es lo que están usando sus socios, y también porque las normas Esfera podrían ser más viables en términos realistas que sus propias normas en el periodo in</w:t>
      </w:r>
      <w:r>
        <w:t>mediatamente posterior a un desastre o en momentos de crisis severa.</w:t>
      </w:r>
    </w:p>
    <w:p w14:paraId="447DE24F" w14:textId="77777777" w:rsidR="00F908D8" w:rsidRDefault="0070337D">
      <w:pPr>
        <w:numPr>
          <w:ilvl w:val="0"/>
          <w:numId w:val="1"/>
        </w:numPr>
      </w:pPr>
      <w:r>
        <w:rPr>
          <w:b/>
        </w:rPr>
        <w:t>Evaluación inicial</w:t>
      </w:r>
      <w:r>
        <w:t xml:space="preserve">, </w:t>
      </w:r>
      <w:r>
        <w:rPr>
          <w:b/>
        </w:rPr>
        <w:t>seguimiento</w:t>
      </w:r>
      <w:r>
        <w:t xml:space="preserve"> y </w:t>
      </w:r>
      <w:r>
        <w:rPr>
          <w:b/>
        </w:rPr>
        <w:t xml:space="preserve">evaluación posterior: </w:t>
      </w:r>
      <w:r>
        <w:t>El Manual Esfera (en especial, los indicadores clave y las listas de verificación) puede usarse para informar varios tipos de activ</w:t>
      </w:r>
      <w:r>
        <w:t xml:space="preserve">idades de evaluación inicial y de S&amp;E. Consulte la guía </w:t>
      </w:r>
      <w:hyperlink r:id="rId11">
        <w:r>
          <w:rPr>
            <w:color w:val="0563C1"/>
            <w:u w:val="single"/>
          </w:rPr>
          <w:t>Esfera en contexto y para Evaluación previa, Seg</w:t>
        </w:r>
        <w:r>
          <w:rPr>
            <w:color w:val="0563C1"/>
            <w:u w:val="single"/>
          </w:rPr>
          <w:t>uimiento, Evaluación posterior y Aprendizaje</w:t>
        </w:r>
      </w:hyperlink>
      <w:r>
        <w:t xml:space="preserve">, de la serie "Descubriendo Esfera", para más información. </w:t>
      </w:r>
    </w:p>
    <w:p w14:paraId="447DE250" w14:textId="77777777" w:rsidR="00F908D8" w:rsidRDefault="0070337D">
      <w:pPr>
        <w:numPr>
          <w:ilvl w:val="0"/>
          <w:numId w:val="1"/>
        </w:numPr>
      </w:pPr>
      <w:r>
        <w:rPr>
          <w:b/>
        </w:rPr>
        <w:t xml:space="preserve">Calidad </w:t>
      </w:r>
      <w:r>
        <w:t>de la ayuda prestada. Las normas ayudan a definir la calidad. Las normas definen las condiciones mínimas para una vida digna, y por tanto los re</w:t>
      </w:r>
      <w:r>
        <w:t xml:space="preserve">sultados mínimos deseados de la respuesta humanitaria. La CHS puede usarse para medir la calidad y la rendición de cuentas de una organización humanitaria y sus programas. </w:t>
      </w:r>
    </w:p>
    <w:p w14:paraId="447DE251" w14:textId="77777777" w:rsidR="00F908D8" w:rsidRDefault="0070337D">
      <w:pPr>
        <w:numPr>
          <w:ilvl w:val="0"/>
          <w:numId w:val="1"/>
        </w:numPr>
      </w:pPr>
      <w:r>
        <w:rPr>
          <w:b/>
        </w:rPr>
        <w:t>Efectividad</w:t>
      </w:r>
      <w:r>
        <w:t xml:space="preserve"> (un aspecto de la calidad): Las normas Esfera son acordadas previamente</w:t>
      </w:r>
      <w:r>
        <w:t xml:space="preserve"> y son concisas. Sin normas, los programas de </w:t>
      </w:r>
      <w:r>
        <w:rPr>
          <w:b/>
        </w:rPr>
        <w:t xml:space="preserve">planificación </w:t>
      </w:r>
      <w:r>
        <w:t xml:space="preserve">tomarían mucho tiempo, porque la información captada en el Manual está sintetizada a partir de cientos de otros recursos. </w:t>
      </w:r>
    </w:p>
    <w:p w14:paraId="447DE252" w14:textId="77777777" w:rsidR="00F908D8" w:rsidRDefault="0070337D">
      <w:pPr>
        <w:numPr>
          <w:ilvl w:val="0"/>
          <w:numId w:val="1"/>
        </w:numPr>
      </w:pPr>
      <w:r>
        <w:rPr>
          <w:b/>
        </w:rPr>
        <w:t xml:space="preserve">Profesionalización </w:t>
      </w:r>
      <w:r>
        <w:t>del sector: Las entidades profesionales tienen normas.</w:t>
      </w:r>
      <w:r>
        <w:t xml:space="preserve"> En las décadas de los 80 y 90 – incluso antes de que el informe JEEAR (</w:t>
      </w:r>
      <w:proofErr w:type="spellStart"/>
      <w:r>
        <w:rPr>
          <w:i/>
        </w:rPr>
        <w:t>Joint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Evaluation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Emergency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Assistance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Rwanda</w:t>
      </w:r>
      <w:proofErr w:type="spellEnd"/>
      <w:r>
        <w:t xml:space="preserve"> - Evaluación Conjunta de la Asistencia de Emergencia a Ruanda) identificara una falta de profesionalismo – los actores humanitarios h</w:t>
      </w:r>
      <w:r>
        <w:t xml:space="preserve">abían identificado la necesidad de tener un conjunto de normas humanitarias. Unas normas actualizadas periódicamente captan conocimientos y experiencia, facilitando un </w:t>
      </w:r>
      <w:r>
        <w:rPr>
          <w:b/>
        </w:rPr>
        <w:t xml:space="preserve">aprendizaje </w:t>
      </w:r>
      <w:r>
        <w:t xml:space="preserve">para el sector en conjunto. </w:t>
      </w:r>
    </w:p>
    <w:p w14:paraId="447DE253" w14:textId="77777777" w:rsidR="00F908D8" w:rsidRDefault="00F908D8">
      <w:pPr>
        <w:ind w:left="720"/>
        <w:rPr>
          <w:i/>
        </w:rPr>
      </w:pPr>
    </w:p>
    <w:p w14:paraId="447DE254" w14:textId="77777777" w:rsidR="00F908D8" w:rsidRDefault="0070337D">
      <w:pPr>
        <w:ind w:left="720"/>
        <w:rPr>
          <w:i/>
        </w:rPr>
      </w:pPr>
      <w:r>
        <w:rPr>
          <w:i/>
        </w:rPr>
        <w:t>(Continúa en la siguiente página.)</w:t>
      </w:r>
    </w:p>
    <w:p w14:paraId="447DE255" w14:textId="77777777" w:rsidR="00F908D8" w:rsidRDefault="00F908D8">
      <w:pPr>
        <w:rPr>
          <w:b/>
        </w:rPr>
      </w:pPr>
    </w:p>
    <w:p w14:paraId="447DE256" w14:textId="77777777" w:rsidR="00F908D8" w:rsidRDefault="0070337D">
      <w:pPr>
        <w:rPr>
          <w:b/>
        </w:rPr>
      </w:pPr>
      <w:r>
        <w:br w:type="page"/>
      </w:r>
    </w:p>
    <w:p w14:paraId="447DE257" w14:textId="77777777" w:rsidR="00F908D8" w:rsidRDefault="0070337D">
      <w:pPr>
        <w:numPr>
          <w:ilvl w:val="0"/>
          <w:numId w:val="1"/>
        </w:numPr>
      </w:pPr>
      <w:sdt>
        <w:sdtPr>
          <w:tag w:val="goog_rdk_0"/>
          <w:id w:val="858325141"/>
        </w:sdtPr>
        <w:sdtEndPr/>
        <w:sdtContent/>
      </w:sdt>
      <w:r>
        <w:rPr>
          <w:b/>
        </w:rPr>
        <w:t>Incide</w:t>
      </w:r>
      <w:r>
        <w:rPr>
          <w:b/>
        </w:rPr>
        <w:t>ncia</w:t>
      </w:r>
      <w:r>
        <w:rPr>
          <w:b/>
        </w:rPr>
        <w:t xml:space="preserve"> pública</w:t>
      </w:r>
      <w:r>
        <w:rPr>
          <w:b/>
          <w:vertAlign w:val="superscript"/>
        </w:rPr>
        <w:footnoteReference w:id="1"/>
      </w:r>
      <w:r>
        <w:rPr>
          <w:b/>
        </w:rPr>
        <w:t>:</w:t>
      </w:r>
      <w:r>
        <w:t xml:space="preserve"> “Nuestro cometido, al prestar asistencia, pone en evidencia el hecho de que a quienes incumbe en primer término esa responsabilidad no siempre tienen la capacidad de asumir esa función o no desean asumirla.” (En la </w:t>
      </w:r>
      <w:hyperlink r:id="rId12" w:anchor="ch003_001_002">
        <w:r>
          <w:rPr>
            <w:color w:val="0563C1"/>
            <w:u w:val="single"/>
          </w:rPr>
          <w:t>Carta Humanitaria, párrafo 3</w:t>
        </w:r>
      </w:hyperlink>
      <w:r>
        <w:t>). Generalmente esta responsabilidad primaria recae sobre el gobierno, y en su defecto, sobre quienquiera que esté al mando: una autoridad local, un líder de la comuni</w:t>
      </w:r>
      <w:r>
        <w:t xml:space="preserve">dad, un grupo armado o incluso la mafia. </w:t>
      </w:r>
    </w:p>
    <w:p w14:paraId="447DE258" w14:textId="77777777" w:rsidR="00F908D8" w:rsidRDefault="0070337D">
      <w:pPr>
        <w:ind w:left="720"/>
      </w:pPr>
      <w:r>
        <w:t>Una función clave de los actores humanitarios es realizar incidencia pública en nombre de las poblaciones afectadas; alentar a aquellos que estén en poder a cumplir con sus responsabilidades. Algunas organizaciones</w:t>
      </w:r>
      <w:r>
        <w:t xml:space="preserve"> se especializan en la incidencia pública, pero todos los actores humanitarios se dedican a ella. </w:t>
      </w:r>
    </w:p>
    <w:p w14:paraId="447DE259" w14:textId="77777777" w:rsidR="00F908D8" w:rsidRDefault="0070337D">
      <w:pPr>
        <w:ind w:left="720"/>
      </w:pPr>
      <w:r>
        <w:t xml:space="preserve">Las normas establecen qué condiciones (mínimas) han de cumplir las personas al mando y, por tanto, pueden usarse para cuantificar la brecha entre lo que hay </w:t>
      </w:r>
      <w:r>
        <w:t xml:space="preserve">y lo que debería haber. Esto funciona incluso mejor si el gobierno reconoce Esfera, algo que varios hacen. </w:t>
      </w:r>
    </w:p>
    <w:p w14:paraId="447DE25A" w14:textId="66405DE6" w:rsidR="00F908D8" w:rsidRDefault="0070337D">
      <w:pPr>
        <w:ind w:left="720"/>
      </w:pPr>
      <w:r>
        <w:t xml:space="preserve">Abogar por el uso de las normas Esfera es una actividad clave de los puntos focales Esfera. Encuentre información aquí: </w:t>
      </w:r>
      <w:hyperlink r:id="rId13" w:history="1">
        <w:r w:rsidRPr="007456B2">
          <w:rPr>
            <w:rStyle w:val="Hyperlink"/>
          </w:rPr>
          <w:t>https://spherestandards.org/es/resources/?category=ndmas-es</w:t>
        </w:r>
      </w:hyperlink>
    </w:p>
    <w:p w14:paraId="447DE25B" w14:textId="77777777" w:rsidR="00F908D8" w:rsidRDefault="0070337D">
      <w:pPr>
        <w:ind w:left="720"/>
      </w:pPr>
      <w:r>
        <w:t xml:space="preserve">Cualquiera puede abogar por un mayor uso de las normas Esfera entre sus socios. El curso virtual </w:t>
      </w:r>
      <w:r>
        <w:rPr>
          <w:i/>
        </w:rPr>
        <w:t xml:space="preserve">Cómo ser defensor de Esfera </w:t>
      </w:r>
      <w:r>
        <w:t xml:space="preserve">explica cómo hacerlo: </w:t>
      </w:r>
      <w:hyperlink r:id="rId14">
        <w:r>
          <w:rPr>
            <w:color w:val="0563C1"/>
            <w:u w:val="single"/>
          </w:rPr>
          <w:t>https://learning.spherestandards.org/login.php?lang=espanol</w:t>
        </w:r>
      </w:hyperlink>
    </w:p>
    <w:p w14:paraId="447DE25C" w14:textId="77777777" w:rsidR="00F908D8" w:rsidRDefault="0070337D">
      <w:pPr>
        <w:numPr>
          <w:ilvl w:val="0"/>
          <w:numId w:val="1"/>
        </w:numPr>
      </w:pPr>
      <w:r>
        <w:rPr>
          <w:b/>
        </w:rPr>
        <w:t>Previsibilidad</w:t>
      </w:r>
      <w:r>
        <w:t xml:space="preserve"> y </w:t>
      </w:r>
      <w:r>
        <w:rPr>
          <w:b/>
        </w:rPr>
        <w:t>constancia</w:t>
      </w:r>
      <w:r>
        <w:t xml:space="preserve">: Una organización que se adhiera a los principios y las normas Esfera deberá comportarse de manera constante y previsible, lo cual permitirá una colaboración más fácil. </w:t>
      </w:r>
    </w:p>
    <w:p w14:paraId="447DE25D" w14:textId="77777777" w:rsidR="00F908D8" w:rsidRDefault="0070337D">
      <w:pPr>
        <w:numPr>
          <w:ilvl w:val="0"/>
          <w:numId w:val="1"/>
        </w:numPr>
      </w:pPr>
      <w:r>
        <w:rPr>
          <w:b/>
        </w:rPr>
        <w:t xml:space="preserve">Rendición de cuentas </w:t>
      </w:r>
      <w:r>
        <w:t>para los recursos y ante las personas. Esto es muy importante, y</w:t>
      </w:r>
      <w:r>
        <w:t xml:space="preserve"> la “rendición de cuentas” deberá haberse definido con cuidado en otra actividad (p.ej., </w:t>
      </w:r>
      <w:r>
        <w:rPr>
          <w:i/>
        </w:rPr>
        <w:t>actividad 2.3: ¿Puede definir los términos clave que están en el centro de la filosofía Esfera?)</w:t>
      </w:r>
    </w:p>
    <w:p w14:paraId="447DE25E" w14:textId="77777777" w:rsidR="00F908D8" w:rsidRDefault="0070337D">
      <w:pPr>
        <w:numPr>
          <w:ilvl w:val="0"/>
          <w:numId w:val="1"/>
        </w:numPr>
      </w:pPr>
      <w:r>
        <w:t xml:space="preserve">La </w:t>
      </w:r>
      <w:r>
        <w:rPr>
          <w:b/>
        </w:rPr>
        <w:t>transparencia</w:t>
      </w:r>
      <w:r>
        <w:t xml:space="preserve"> es un aspecto de la rendición de cuentas que está rel</w:t>
      </w:r>
      <w:r>
        <w:t xml:space="preserve">acionada estrechamente con el comportamiento previsible y constante: las normas proporcionan un punto de referencia para explicar las acciones que toma. </w:t>
      </w:r>
    </w:p>
    <w:sectPr w:rsidR="00F908D8">
      <w:headerReference w:type="default" r:id="rId15"/>
      <w:footerReference w:type="default" r:id="rId1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E270" w14:textId="77777777" w:rsidR="00000000" w:rsidRDefault="0070337D">
      <w:pPr>
        <w:spacing w:after="0" w:line="240" w:lineRule="auto"/>
      </w:pPr>
      <w:r>
        <w:separator/>
      </w:r>
    </w:p>
  </w:endnote>
  <w:endnote w:type="continuationSeparator" w:id="0">
    <w:p w14:paraId="447DE272" w14:textId="77777777" w:rsidR="00000000" w:rsidRDefault="007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E266" w14:textId="77777777" w:rsidR="00F908D8" w:rsidRDefault="00F908D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/>
        <w:color w:val="000000"/>
      </w:rPr>
    </w:pPr>
  </w:p>
  <w:tbl>
    <w:tblPr>
      <w:tblStyle w:val="a0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F908D8" w14:paraId="447DE26A" w14:textId="77777777">
      <w:tc>
        <w:tcPr>
          <w:tcW w:w="3005" w:type="dxa"/>
        </w:tcPr>
        <w:p w14:paraId="447DE267" w14:textId="22563769" w:rsidR="00F908D8" w:rsidRDefault="0070337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rFonts w:eastAsia="Calibri"/>
              <w:color w:val="000000"/>
            </w:rPr>
          </w:pPr>
          <w:r>
            <w:rPr>
              <w:rFonts w:eastAsia="Calibri"/>
              <w:color w:val="000000"/>
            </w:rPr>
            <w:fldChar w:fldCharType="begin"/>
          </w:r>
          <w:r>
            <w:rPr>
              <w:rFonts w:eastAsia="Calibri"/>
              <w:color w:val="000000"/>
            </w:rPr>
            <w:instrText>PAGE</w:instrText>
          </w:r>
          <w:r>
            <w:rPr>
              <w:rFonts w:eastAsia="Calibri"/>
              <w:color w:val="000000"/>
            </w:rPr>
            <w:fldChar w:fldCharType="separate"/>
          </w:r>
          <w:r w:rsidR="00B10B71">
            <w:rPr>
              <w:rFonts w:eastAsia="Calibri"/>
              <w:noProof/>
              <w:color w:val="000000"/>
            </w:rPr>
            <w:t>1</w:t>
          </w:r>
          <w:r>
            <w:rPr>
              <w:rFonts w:eastAsia="Calibri"/>
              <w:color w:val="000000"/>
            </w:rPr>
            <w:fldChar w:fldCharType="end"/>
          </w:r>
        </w:p>
      </w:tc>
      <w:tc>
        <w:tcPr>
          <w:tcW w:w="3005" w:type="dxa"/>
        </w:tcPr>
        <w:p w14:paraId="447DE268" w14:textId="77777777" w:rsidR="00F908D8" w:rsidRDefault="00F908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eastAsia="Calibri"/>
              <w:color w:val="000000"/>
            </w:rPr>
          </w:pPr>
        </w:p>
      </w:tc>
      <w:tc>
        <w:tcPr>
          <w:tcW w:w="3005" w:type="dxa"/>
        </w:tcPr>
        <w:p w14:paraId="447DE269" w14:textId="77777777" w:rsidR="00F908D8" w:rsidRDefault="00F908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rFonts w:eastAsia="Calibri"/>
              <w:color w:val="000000"/>
            </w:rPr>
          </w:pPr>
        </w:p>
      </w:tc>
    </w:tr>
  </w:tbl>
  <w:p w14:paraId="447DE26B" w14:textId="77777777" w:rsidR="00F908D8" w:rsidRDefault="00F908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DE26C" w14:textId="77777777" w:rsidR="00000000" w:rsidRDefault="0070337D">
      <w:pPr>
        <w:spacing w:after="0" w:line="240" w:lineRule="auto"/>
      </w:pPr>
      <w:r>
        <w:separator/>
      </w:r>
    </w:p>
  </w:footnote>
  <w:footnote w:type="continuationSeparator" w:id="0">
    <w:p w14:paraId="447DE26E" w14:textId="77777777" w:rsidR="00000000" w:rsidRDefault="0070337D">
      <w:pPr>
        <w:spacing w:after="0" w:line="240" w:lineRule="auto"/>
      </w:pPr>
      <w:r>
        <w:continuationSeparator/>
      </w:r>
    </w:p>
  </w:footnote>
  <w:footnote w:id="1">
    <w:p w14:paraId="447DE26E" w14:textId="77777777" w:rsidR="00F908D8" w:rsidRDefault="0070337D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 Considerar la incidencia comunitaria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E260" w14:textId="77777777" w:rsidR="00F908D8" w:rsidRDefault="0070337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jc w:val="right"/>
    </w:pPr>
    <w:r>
      <w:rPr>
        <w:noProof/>
      </w:rPr>
      <w:drawing>
        <wp:inline distT="114300" distB="114300" distL="114300" distR="114300" wp14:anchorId="447DE26C" wp14:editId="447DE26D">
          <wp:extent cx="1340020" cy="690563"/>
          <wp:effectExtent l="0" t="0" r="0" b="0"/>
          <wp:docPr id="134637589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0020" cy="6905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tbl>
    <w:tblPr>
      <w:tblStyle w:val="a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F908D8" w14:paraId="447DE264" w14:textId="77777777">
      <w:tc>
        <w:tcPr>
          <w:tcW w:w="3005" w:type="dxa"/>
        </w:tcPr>
        <w:p w14:paraId="447DE261" w14:textId="77777777" w:rsidR="00F908D8" w:rsidRDefault="00F908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rFonts w:eastAsia="Calibri"/>
              <w:color w:val="000000"/>
            </w:rPr>
          </w:pPr>
        </w:p>
      </w:tc>
      <w:tc>
        <w:tcPr>
          <w:tcW w:w="3005" w:type="dxa"/>
        </w:tcPr>
        <w:p w14:paraId="447DE262" w14:textId="77777777" w:rsidR="00F908D8" w:rsidRDefault="00F908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eastAsia="Calibri"/>
              <w:color w:val="000000"/>
            </w:rPr>
          </w:pPr>
        </w:p>
      </w:tc>
      <w:tc>
        <w:tcPr>
          <w:tcW w:w="3005" w:type="dxa"/>
        </w:tcPr>
        <w:p w14:paraId="447DE263" w14:textId="77777777" w:rsidR="00F908D8" w:rsidRDefault="00F908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rFonts w:eastAsia="Calibri"/>
              <w:color w:val="000000"/>
            </w:rPr>
          </w:pPr>
        </w:p>
      </w:tc>
    </w:tr>
  </w:tbl>
  <w:p w14:paraId="447DE265" w14:textId="77777777" w:rsidR="00F908D8" w:rsidRDefault="00F908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E5DA7"/>
    <w:multiLevelType w:val="multilevel"/>
    <w:tmpl w:val="38AC6880"/>
    <w:lvl w:ilvl="0">
      <w:start w:val="1"/>
      <w:numFmt w:val="bullet"/>
      <w:lvlText w:val="⇨"/>
      <w:lvlJc w:val="left"/>
      <w:pPr>
        <w:ind w:left="720" w:hanging="360"/>
      </w:pPr>
      <w:rPr>
        <w:rFonts w:ascii="Lucida Sans" w:eastAsia="Lucida Sans" w:hAnsi="Lucida Sans" w:cs="Lucida Sans"/>
      </w:rPr>
    </w:lvl>
    <w:lvl w:ilvl="1">
      <w:start w:val="1"/>
      <w:numFmt w:val="bullet"/>
      <w:lvlText w:val="⇨"/>
      <w:lvlJc w:val="left"/>
      <w:pPr>
        <w:ind w:left="1440" w:hanging="360"/>
      </w:pPr>
      <w:rPr>
        <w:rFonts w:ascii="Lucida Sans" w:eastAsia="Lucida Sans" w:hAnsi="Lucida Sans" w:cs="Lucida Sans"/>
      </w:rPr>
    </w:lvl>
    <w:lvl w:ilvl="2">
      <w:start w:val="1"/>
      <w:numFmt w:val="bullet"/>
      <w:lvlText w:val="⇨"/>
      <w:lvlJc w:val="left"/>
      <w:pPr>
        <w:ind w:left="2160" w:hanging="360"/>
      </w:pPr>
      <w:rPr>
        <w:rFonts w:ascii="Lucida Sans" w:eastAsia="Lucida Sans" w:hAnsi="Lucida Sans" w:cs="Lucida Sans"/>
      </w:rPr>
    </w:lvl>
    <w:lvl w:ilvl="3">
      <w:start w:val="1"/>
      <w:numFmt w:val="bullet"/>
      <w:lvlText w:val="⇨"/>
      <w:lvlJc w:val="left"/>
      <w:pPr>
        <w:ind w:left="2880" w:hanging="360"/>
      </w:pPr>
      <w:rPr>
        <w:rFonts w:ascii="Lucida Sans" w:eastAsia="Lucida Sans" w:hAnsi="Lucida Sans" w:cs="Lucida Sans"/>
      </w:rPr>
    </w:lvl>
    <w:lvl w:ilvl="4">
      <w:start w:val="1"/>
      <w:numFmt w:val="bullet"/>
      <w:lvlText w:val="⇨"/>
      <w:lvlJc w:val="left"/>
      <w:pPr>
        <w:ind w:left="3600" w:hanging="360"/>
      </w:pPr>
      <w:rPr>
        <w:rFonts w:ascii="Lucida Sans" w:eastAsia="Lucida Sans" w:hAnsi="Lucida Sans" w:cs="Lucida Sans"/>
      </w:rPr>
    </w:lvl>
    <w:lvl w:ilvl="5">
      <w:start w:val="1"/>
      <w:numFmt w:val="bullet"/>
      <w:lvlText w:val="⇨"/>
      <w:lvlJc w:val="left"/>
      <w:pPr>
        <w:ind w:left="4320" w:hanging="360"/>
      </w:pPr>
      <w:rPr>
        <w:rFonts w:ascii="Lucida Sans" w:eastAsia="Lucida Sans" w:hAnsi="Lucida Sans" w:cs="Lucida Sans"/>
      </w:rPr>
    </w:lvl>
    <w:lvl w:ilvl="6">
      <w:start w:val="1"/>
      <w:numFmt w:val="bullet"/>
      <w:lvlText w:val="⇨"/>
      <w:lvlJc w:val="left"/>
      <w:pPr>
        <w:ind w:left="5040" w:hanging="360"/>
      </w:pPr>
      <w:rPr>
        <w:rFonts w:ascii="Lucida Sans" w:eastAsia="Lucida Sans" w:hAnsi="Lucida Sans" w:cs="Lucida Sans"/>
      </w:rPr>
    </w:lvl>
    <w:lvl w:ilvl="7">
      <w:start w:val="1"/>
      <w:numFmt w:val="bullet"/>
      <w:lvlText w:val="⇨"/>
      <w:lvlJc w:val="left"/>
      <w:pPr>
        <w:ind w:left="5760" w:hanging="360"/>
      </w:pPr>
      <w:rPr>
        <w:rFonts w:ascii="Lucida Sans" w:eastAsia="Lucida Sans" w:hAnsi="Lucida Sans" w:cs="Lucida Sans"/>
      </w:rPr>
    </w:lvl>
    <w:lvl w:ilvl="8">
      <w:start w:val="1"/>
      <w:numFmt w:val="bullet"/>
      <w:lvlText w:val="⇨"/>
      <w:lvlJc w:val="left"/>
      <w:pPr>
        <w:ind w:left="6480" w:hanging="360"/>
      </w:pPr>
      <w:rPr>
        <w:rFonts w:ascii="Lucida Sans" w:eastAsia="Lucida Sans" w:hAnsi="Lucida Sans" w:cs="Lucida Sans"/>
      </w:rPr>
    </w:lvl>
  </w:abstractNum>
  <w:num w:numId="1" w16cid:durableId="825588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8D8"/>
    <w:rsid w:val="0070337D"/>
    <w:rsid w:val="00B10B71"/>
    <w:rsid w:val="00F9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DE24B"/>
  <w15:docId w15:val="{A7A4F644-E628-4BD2-A79E-FD5A2C29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0AB"/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F20A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0A8F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HAnsi"/>
      <w:sz w:val="20"/>
      <w:szCs w:val="20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pherestandards.org/es/resources/?category=ndmas-e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andbook.hspstandards.org/es/spher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pherestandards.org/es/resources/esfera-en-contexto-y-para-evaluacion-previa-seguimiento-evaluacion-posterior-y-aprendizaje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earning.spherestandards.org/login.php?lang=espano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L0An4JtG7kz0gUSRL/8FAqfCbA==">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24E9AEFB-39CC-4710-949D-40CD09E10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D66243-371C-4548-B612-FFAC5D2FF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F21724B6-0E52-459F-83DF-3B0ED2F3E983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Hale</dc:creator>
  <cp:lastModifiedBy>Tristan Hale</cp:lastModifiedBy>
  <cp:revision>3</cp:revision>
  <dcterms:created xsi:type="dcterms:W3CDTF">2021-12-01T18:08:00Z</dcterms:created>
  <dcterms:modified xsi:type="dcterms:W3CDTF">2022-06-03T13:59:00Z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MediaServiceImageTags">
    <vt:lpwstr/>
  </property>
</Properties>
</file>