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b w:val="1"/>
        </w:rPr>
      </w:pPr>
      <w:r w:rsidDel="00000000" w:rsidR="00000000" w:rsidRPr="00000000">
        <w:rPr>
          <w:rtl w:val="0"/>
        </w:rPr>
        <w:t xml:space="preserve">Términos clave de Esfera: Notas de reflexión posterior</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pStyle w:val="Heading2"/>
        <w:rPr>
          <w:rFonts w:ascii="Calibri" w:cs="Calibri" w:eastAsia="Calibri" w:hAnsi="Calibri"/>
          <w:b w:val="1"/>
        </w:rPr>
      </w:pPr>
      <w:r w:rsidDel="00000000" w:rsidR="00000000" w:rsidRPr="00000000">
        <w:rPr>
          <w:rtl w:val="0"/>
        </w:rPr>
        <w:t xml:space="preserve">Rendición de cuentas</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"Rendición de cuentas" hace referencia al uso responsable del poder (recursos, toma de decisiones) por parte de los actores humanitarios, combinado con una programación eficiente y de calidad que reconoce la dignidad, la capacidad y la habilidad para ser independiente de una comunidad de interés.” </w:t>
      </w:r>
      <w:hyperlink r:id="rId7">
        <w:r w:rsidDel="00000000" w:rsidR="00000000" w:rsidRPr="00000000">
          <w:rPr>
            <w:color w:val="0563c1"/>
            <w:u w:val="single"/>
            <w:rtl w:val="0"/>
          </w:rPr>
          <w:t xml:space="preserve">ACNUR</w:t>
        </w:r>
      </w:hyperlink>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“La rendición de cuentas a las poblaciones afectadas (AAP por sus siglas en inglés) es un decidido compromiso por parte de los agentes humanitarios de ejercer el poder de manera responsable, tomando debidamente en consideración a las personas a las que se proponen ayudar, dándoles explicaciones y respondiendo ante ellas.” </w:t>
      </w:r>
      <w:hyperlink r:id="rId8">
        <w:r w:rsidDel="00000000" w:rsidR="00000000" w:rsidRPr="00000000">
          <w:rPr>
            <w:color w:val="0563c1"/>
            <w:u w:val="single"/>
            <w:rtl w:val="0"/>
          </w:rPr>
          <w:t xml:space="preserve">IOM</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Cuantos más recursos se tiene, más poder se tiene. El poder acarrea responsabilidad. Cuanta más responsabilidad se tiene, más cuentas se han de rendir.</w:t>
      </w:r>
    </w:p>
    <w:p w:rsidR="00000000" w:rsidDel="00000000" w:rsidP="00000000" w:rsidRDefault="00000000" w:rsidRPr="00000000" w14:paraId="00000007">
      <w:pPr>
        <w:rPr/>
      </w:pPr>
      <w:r w:rsidDel="00000000" w:rsidR="00000000" w:rsidRPr="00000000">
        <w:rPr>
          <w:rtl w:val="0"/>
        </w:rPr>
        <w:t xml:space="preserve">El Manual Esfera le ayuda a actuar de forma responsable, con rendición de cuentas. Define las mejores prácticas y proporciona orientación acerca de cómo involucrar a todos las partes interesadas – incluidos grupos minoritarios – en todas las fases del ciclo del programa. </w:t>
      </w:r>
    </w:p>
    <w:p w:rsidR="00000000" w:rsidDel="00000000" w:rsidP="00000000" w:rsidRDefault="00000000" w:rsidRPr="00000000" w14:paraId="00000008">
      <w:pPr>
        <w:rPr/>
      </w:pPr>
      <w:r w:rsidDel="00000000" w:rsidR="00000000" w:rsidRPr="00000000">
        <w:rPr>
          <w:rtl w:val="0"/>
        </w:rPr>
        <w:t xml:space="preserve">La rendición de cuentas debe ser principalmente a las poblaciones afectadas, aunque reconocemos que es multidireccional: a las poblaciones de acogida, los socios, los colegas, las autoridades locales, los donantes y otros.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2"/>
        <w:rPr>
          <w:rFonts w:ascii="Calibri" w:cs="Calibri" w:eastAsia="Calibri" w:hAnsi="Calibri"/>
          <w:b w:val="1"/>
        </w:rPr>
      </w:pPr>
      <w:r w:rsidDel="00000000" w:rsidR="00000000" w:rsidRPr="00000000">
        <w:rPr>
          <w:rtl w:val="0"/>
        </w:rPr>
        <w:t xml:space="preserve">Calidad </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Esfera es una de las iniciativas de calidad y rendición de cuentas (</w:t>
      </w:r>
      <w:r w:rsidDel="00000000" w:rsidR="00000000" w:rsidRPr="00000000">
        <w:rPr>
          <w:i w:val="1"/>
          <w:rtl w:val="0"/>
        </w:rPr>
        <w:t xml:space="preserve">Quality and Accountability</w:t>
      </w:r>
      <w:r w:rsidDel="00000000" w:rsidR="00000000" w:rsidRPr="00000000">
        <w:rPr>
          <w:rtl w:val="0"/>
        </w:rPr>
        <w:t xml:space="preserve"> o Q&amp;A en inglés) de mayor recorrido en el sector humanitario. Un programa humanitario de buena calidad es uno programa </w:t>
      </w:r>
      <w:r w:rsidDel="00000000" w:rsidR="00000000" w:rsidRPr="00000000">
        <w:rPr>
          <w:b w:val="1"/>
          <w:rtl w:val="0"/>
        </w:rPr>
        <w:t xml:space="preserve">efectivo</w:t>
      </w:r>
      <w:r w:rsidDel="00000000" w:rsidR="00000000" w:rsidRPr="00000000">
        <w:rPr>
          <w:rtl w:val="0"/>
        </w:rPr>
        <w:t xml:space="preserve">, </w:t>
      </w:r>
      <w:r w:rsidDel="00000000" w:rsidR="00000000" w:rsidRPr="00000000">
        <w:rPr>
          <w:b w:val="1"/>
          <w:rtl w:val="0"/>
        </w:rPr>
        <w:t xml:space="preserve">eficiente </w:t>
      </w:r>
      <w:r w:rsidDel="00000000" w:rsidR="00000000" w:rsidRPr="00000000">
        <w:rPr>
          <w:rtl w:val="0"/>
        </w:rPr>
        <w:t xml:space="preserve">y </w:t>
      </w:r>
      <w:r w:rsidDel="00000000" w:rsidR="00000000" w:rsidRPr="00000000">
        <w:rPr>
          <w:b w:val="1"/>
          <w:rtl w:val="0"/>
        </w:rPr>
        <w:t xml:space="preserve">adecuado</w:t>
      </w:r>
      <w:r w:rsidDel="00000000" w:rsidR="00000000" w:rsidRPr="00000000">
        <w:rPr>
          <w:rtl w:val="0"/>
        </w:rPr>
        <w:t xml:space="preserve">.</w:t>
      </w:r>
    </w:p>
    <w:p w:rsidR="00000000" w:rsidDel="00000000" w:rsidP="00000000" w:rsidRDefault="00000000" w:rsidRPr="00000000" w14:paraId="0000000C">
      <w:pPr>
        <w:rPr/>
      </w:pPr>
      <w:r w:rsidDel="00000000" w:rsidR="00000000" w:rsidRPr="00000000">
        <w:rPr>
          <w:rtl w:val="0"/>
        </w:rPr>
        <w:t xml:space="preserve">La respuesta no será efectiva o apropiada si las poblaciones afectadas no participan activamente.</w:t>
      </w:r>
    </w:p>
    <w:p w:rsidR="00000000" w:rsidDel="00000000" w:rsidP="00000000" w:rsidRDefault="00000000" w:rsidRPr="00000000" w14:paraId="0000000D">
      <w:pPr>
        <w:rPr/>
      </w:pPr>
      <w:r w:rsidDel="00000000" w:rsidR="00000000" w:rsidRPr="00000000">
        <w:rPr>
          <w:rtl w:val="0"/>
        </w:rPr>
        <w:t xml:space="preserve">Es necesario realizar evaluaciones iniciales para asegurar que un programa sea </w:t>
      </w:r>
      <w:r w:rsidDel="00000000" w:rsidR="00000000" w:rsidRPr="00000000">
        <w:rPr>
          <w:b w:val="1"/>
          <w:rtl w:val="0"/>
        </w:rPr>
        <w:t xml:space="preserve">adecuado</w:t>
      </w:r>
      <w:r w:rsidDel="00000000" w:rsidR="00000000" w:rsidRPr="00000000">
        <w:rPr>
          <w:rtl w:val="0"/>
        </w:rPr>
        <w:t xml:space="preserve">. Se requiere un seguimiento y evaluaciones periódicas para comprobar que la respuesta está cumpliendo sus objetivos (</w:t>
      </w:r>
      <w:r w:rsidDel="00000000" w:rsidR="00000000" w:rsidRPr="00000000">
        <w:rPr>
          <w:b w:val="1"/>
          <w:rtl w:val="0"/>
        </w:rPr>
        <w:t xml:space="preserve">efectividad</w:t>
      </w:r>
      <w:r w:rsidDel="00000000" w:rsidR="00000000" w:rsidRPr="00000000">
        <w:rPr>
          <w:rtl w:val="0"/>
        </w:rPr>
        <w:t xml:space="preserve">) y que los objetivos aún son relevantes (</w:t>
      </w:r>
      <w:r w:rsidDel="00000000" w:rsidR="00000000" w:rsidRPr="00000000">
        <w:rPr>
          <w:b w:val="1"/>
          <w:rtl w:val="0"/>
        </w:rPr>
        <w:t xml:space="preserve">adecuación </w:t>
      </w:r>
      <w:r w:rsidDel="00000000" w:rsidR="00000000" w:rsidRPr="00000000">
        <w:rPr>
          <w:rtl w:val="0"/>
        </w:rPr>
        <w:t xml:space="preserve">continuada). Las normas e indicadores Esfera ayudan a medir la calidad.</w:t>
      </w:r>
    </w:p>
    <w:p w:rsidR="00000000" w:rsidDel="00000000" w:rsidP="00000000" w:rsidRDefault="00000000" w:rsidRPr="00000000" w14:paraId="0000000E">
      <w:pPr>
        <w:rPr/>
      </w:pPr>
      <w:r w:rsidDel="00000000" w:rsidR="00000000" w:rsidRPr="00000000">
        <w:rPr>
          <w:rtl w:val="0"/>
        </w:rPr>
        <w:t xml:space="preserve">Como vimos en la actividad anterior (2.1: ¿Cuánto sabe sobre el sector humanitario?), el sector humanitario está cada vez más presionado – es decir, tiene que hacer más con menos – por lo que la </w:t>
      </w:r>
      <w:r w:rsidDel="00000000" w:rsidR="00000000" w:rsidRPr="00000000">
        <w:rPr>
          <w:b w:val="1"/>
          <w:rtl w:val="0"/>
        </w:rPr>
        <w:t xml:space="preserve">eficiencia </w:t>
      </w:r>
      <w:r w:rsidDel="00000000" w:rsidR="00000000" w:rsidRPr="00000000">
        <w:rPr>
          <w:rtl w:val="0"/>
        </w:rPr>
        <w:t xml:space="preserve">también es importante. El número de personas que requieren ayuda humanitaria está creciendo, y la financiación no crece al mismo ritmo.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11">
      <w:pPr>
        <w:pStyle w:val="Heading2"/>
        <w:rPr>
          <w:rFonts w:ascii="Calibri" w:cs="Calibri" w:eastAsia="Calibri" w:hAnsi="Calibri"/>
          <w:b w:val="1"/>
        </w:rPr>
      </w:pPr>
      <w:r w:rsidDel="00000000" w:rsidR="00000000" w:rsidRPr="00000000">
        <w:rPr>
          <w:rtl w:val="0"/>
        </w:rPr>
        <w:t xml:space="preserve">Inclusión</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Todas las personas afectadas por crisis deben tener oportunidades de participar activamente, incluidos los grupos en riesgo y marginalizados. Busque las voces ocultas.</w:t>
      </w:r>
    </w:p>
    <w:p w:rsidR="00000000" w:rsidDel="00000000" w:rsidP="00000000" w:rsidRDefault="00000000" w:rsidRPr="00000000" w14:paraId="00000013">
      <w:pPr>
        <w:rPr/>
      </w:pPr>
      <w:r w:rsidDel="00000000" w:rsidR="00000000" w:rsidRPr="00000000">
        <w:rPr>
          <w:rtl w:val="0"/>
        </w:rPr>
        <w:t xml:space="preserve">Identifique y trabaje con organizaciones de personas con discapacidades (OPD): son expertas en discapacidad e inclusión. Recuerde el eslogan de la comunidad de discapacitados: “Nada sobre nosotros sin nosotros”. Revise el modelo social de la discapacidad que dice que la discapacidad es el producto de una limitación funcional y barreras sociales.</w:t>
      </w:r>
    </w:p>
    <w:p w:rsidR="00000000" w:rsidDel="00000000" w:rsidP="00000000" w:rsidRDefault="00000000" w:rsidRPr="00000000" w14:paraId="00000014">
      <w:pPr>
        <w:rPr/>
      </w:pPr>
      <w:r w:rsidDel="00000000" w:rsidR="00000000" w:rsidRPr="00000000">
        <w:rPr>
          <w:rtl w:val="0"/>
        </w:rPr>
        <w:t xml:space="preserve">Vuelva a mirar las </w:t>
      </w:r>
      <w:r w:rsidDel="00000000" w:rsidR="00000000" w:rsidRPr="00000000">
        <w:rPr>
          <w:i w:val="1"/>
          <w:rtl w:val="0"/>
        </w:rPr>
        <w:t xml:space="preserve">Normas humanitarias para personas mayores y personas con discapacidad </w:t>
      </w:r>
      <w:r w:rsidDel="00000000" w:rsidR="00000000" w:rsidRPr="00000000">
        <w:rPr>
          <w:rtl w:val="0"/>
        </w:rPr>
        <w:t xml:space="preserve">(HIS), pero recuerde que existen muchas razones por las que las personas pueden estar en riesgo, a saber: género, sexualidad, estado de salud, creencias religiosas, etc., además de la edad y su estado de discapacidad.</w:t>
      </w:r>
    </w:p>
    <w:p w:rsidR="00000000" w:rsidDel="00000000" w:rsidP="00000000" w:rsidRDefault="00000000" w:rsidRPr="00000000" w14:paraId="00000015">
      <w:pPr>
        <w:rPr/>
      </w:pPr>
      <w:r w:rsidDel="00000000" w:rsidR="00000000" w:rsidRPr="00000000">
        <w:rPr>
          <w:rtl w:val="0"/>
        </w:rPr>
        <w:t xml:space="preserve">El 2º principio del Código de conducta es que “el orden de prioridad de la asistencia se establece únicamente en función de las necesidades”. Cada persona experimenta las crisis de forma diferente. Los grupos que estaban más en riesgo antes de las crisis suelen verse más impactados por ellas, son menos capaces de acceder a la ayuda humanitaria, y por tanto tienen una mayor necesidad de recibir ayuda. Como consecuencia, es responsabilidad de las organizaciones humanitarias identificar grupos en riesgo y priorizar la asistencia para ellos. </w:t>
      </w:r>
    </w:p>
    <w:sectPr>
      <w:headerReference r:id="rId9" w:type="default"/>
      <w:footerReference r:id="rId10"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015.0" w:type="dxa"/>
      <w:jc w:val="left"/>
      <w:tblInd w:w="0.0" w:type="dxa"/>
      <w:tblLayout w:type="fixed"/>
      <w:tblLook w:val="0600"/>
    </w:tblPr>
    <w:tblGrid>
      <w:gridCol w:w="3005"/>
      <w:gridCol w:w="3005"/>
      <w:gridCol w:w="3005"/>
      <w:tblGridChange w:id="0">
        <w:tblGrid>
          <w:gridCol w:w="3005"/>
          <w:gridCol w:w="3005"/>
          <w:gridCol w:w="3005"/>
        </w:tblGrid>
      </w:tblGridChange>
    </w:tblGrid>
    <w:tr>
      <w:trPr>
        <w:cantSplit w:val="0"/>
        <w:tblHeader w:val="0"/>
      </w:trPr>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9015.0" w:type="dxa"/>
      <w:jc w:val="left"/>
      <w:tblInd w:w="0.0" w:type="dxa"/>
      <w:tblLayout w:type="fixed"/>
      <w:tblLook w:val="0600"/>
    </w:tblPr>
    <w:tblGrid>
      <w:gridCol w:w="3005"/>
      <w:gridCol w:w="3005"/>
      <w:gridCol w:w="3005"/>
      <w:tblGridChange w:id="0">
        <w:tblGrid>
          <w:gridCol w:w="3005"/>
          <w:gridCol w:w="3005"/>
          <w:gridCol w:w="3005"/>
        </w:tblGrid>
      </w:tblGridChange>
    </w:tblGrid>
    <w:tr>
      <w:trPr>
        <w:cantSplit w:val="0"/>
        <w:tblHeader w:val="0"/>
      </w:trPr>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drawing>
              <wp:inline distB="114300" distT="114300" distL="114300" distR="114300">
                <wp:extent cx="1443038" cy="745047"/>
                <wp:effectExtent b="0" l="0" r="0" t="0"/>
                <wp:docPr id="182924864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43038" cy="745047"/>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B6240"/>
    <w:rPr>
      <w:rFonts w:eastAsiaTheme="minorHAnsi"/>
      <w:lang w:eastAsia="en-US"/>
    </w:rPr>
  </w:style>
  <w:style w:type="paragraph" w:styleId="Heading1">
    <w:name w:val="heading 1"/>
    <w:basedOn w:val="Normal"/>
    <w:next w:val="Normal"/>
    <w:link w:val="Heading1Char"/>
    <w:uiPriority w:val="9"/>
    <w:qFormat w:val="1"/>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rFonts w:eastAsiaTheme="minorHAnsi"/>
      <w:sz w:val="20"/>
      <w:szCs w:val="20"/>
      <w:lang w:eastAsia="en-US" w:val="es-ES"/>
    </w:rPr>
  </w:style>
  <w:style w:type="character" w:styleId="CommentReference">
    <w:name w:val="annotation reference"/>
    <w:basedOn w:val="DefaultParagraphFont"/>
    <w:uiPriority w:val="99"/>
    <w:semiHidden w:val="1"/>
    <w:unhideWhenUsed w:val="1"/>
    <w:rPr>
      <w:sz w:val="16"/>
      <w:szCs w:val="16"/>
    </w:rPr>
  </w:style>
  <w:style w:type="character" w:styleId="Hyperlink">
    <w:name w:val="Hyperlink"/>
    <w:basedOn w:val="DefaultParagraphFont"/>
    <w:uiPriority w:val="99"/>
    <w:unhideWhenUsed w:val="1"/>
    <w:rsid w:val="00BC774F"/>
    <w:rPr>
      <w:color w:val="0563c1" w:themeColor="hyperlink"/>
      <w:u w:val="single"/>
    </w:rPr>
  </w:style>
  <w:style w:type="character" w:styleId="UnresolvedMention">
    <w:name w:val="Unresolved Mention"/>
    <w:basedOn w:val="DefaultParagraphFont"/>
    <w:uiPriority w:val="99"/>
    <w:semiHidden w:val="1"/>
    <w:unhideWhenUsed w:val="1"/>
    <w:rsid w:val="00BC774F"/>
    <w:rPr>
      <w:color w:val="605e5c"/>
      <w:shd w:color="auto" w:fill="e1dfdd" w:val="clear"/>
    </w:rPr>
  </w:style>
  <w:style w:type="character" w:styleId="Heading1Char" w:customStyle="1">
    <w:name w:val="Heading 1 Char"/>
    <w:basedOn w:val="DefaultParagraphFont"/>
    <w:link w:val="Heading1"/>
    <w:uiPriority w:val="9"/>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Pr>
      <w:rFonts w:asciiTheme="majorHAnsi" w:cstheme="majorBidi" w:eastAsiaTheme="majorEastAsia" w:hAnsiTheme="majorHAnsi"/>
      <w:color w:val="2f5496" w:themeColor="accent1" w:themeShade="0000BF"/>
      <w:sz w:val="26"/>
      <w:szCs w:val="26"/>
    </w:rPr>
  </w:style>
  <w:style w:type="table" w:styleId="TableGrid">
    <w:name w:val="Table Grid"/>
    <w:basedOn w:val="TableNormal"/>
    <w:uiPriority w:val="59"/>
    <w:rsid w:val="00FB4123"/>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val="1"/>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val="1"/>
    <w:pPr>
      <w:tabs>
        <w:tab w:val="center" w:pos="4680"/>
        <w:tab w:val="right" w:pos="9360"/>
      </w:tabs>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8" Type="http://schemas.openxmlformats.org/officeDocument/2006/relationships/hyperlink" Target="https://www.iom.int/sites/g/files/tmzbdl486/files/documents/Two-page%20Brief%20on%20AAP.pdf" TargetMode="External"/><Relationship Id="rId13" Type="http://schemas.openxmlformats.org/officeDocument/2006/relationships/customXml" Target="../customXML/item4.xml"/><Relationship Id="rId3" Type="http://schemas.openxmlformats.org/officeDocument/2006/relationships/fontTable" Target="fontTable.xml"/><Relationship Id="rId7" Type="http://schemas.openxmlformats.org/officeDocument/2006/relationships/hyperlink" Target="https://emergency.unhcr.org/entry/42554/accountability-to-affected-populations-aap"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szYrhJ0uZ+HfE1Y5lYaS9QJiow==">AMUW2mXuFaJKsEYYIXbMewi2MX1YEbGXqzKwmbdpF2Yttc7ONd897/y6SHPFUqkpntTjfSsyp34i5KcDUKf3d4Kazrf0WFwiS7ZooitgVkauBvCi5VpXdLM=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55b3f0-e072-4ae3-b261-722c43fa6e26">
      <Terms xmlns="http://schemas.microsoft.com/office/infopath/2007/PartnerControls"/>
    </lcf76f155ced4ddcb4097134ff3c332f>
    <TaxCatchAll xmlns="9051fefc-2ea4-4620-a82b-61f19e316bb6" xsi:nil="true"/>
    <_Flow_SignoffStatus xmlns="1355b3f0-e072-4ae3-b261-722c43fa6e26"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60F4A38-7758-48AB-B6B7-6EEC4781600F}"/>
</file>

<file path=customXML/itemProps3.xml><?xml version="1.0" encoding="utf-8"?>
<ds:datastoreItem xmlns:ds="http://schemas.openxmlformats.org/officeDocument/2006/customXml" ds:itemID="{4F1CBAF6-C1D1-420F-A018-19A69DEA4A02}"/>
</file>

<file path=customXML/itemProps4.xml><?xml version="1.0" encoding="utf-8"?>
<ds:datastoreItem xmlns:ds="http://schemas.openxmlformats.org/officeDocument/2006/customXml" ds:itemID="{9E86D611-F3CF-4291-98C6-1D936C20F304}"/>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Hale</dc:creator>
  <dcterms:created xsi:type="dcterms:W3CDTF">2021-12-01T08:15:00Z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